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60" w:lineRule="exact"/>
        <w:jc w:val="center"/>
        <w:rPr>
          <w:rFonts w:ascii="宋体" w:hAnsi="宋体"/>
          <w:b/>
          <w:color w:val="000000"/>
          <w:sz w:val="36"/>
          <w:szCs w:val="36"/>
        </w:rPr>
      </w:pPr>
      <w:r>
        <w:rPr>
          <w:rFonts w:ascii="宋体" w:hAnsi="宋体"/>
          <w:b/>
          <w:color w:val="000000"/>
          <w:sz w:val="36"/>
          <w:szCs w:val="36"/>
        </w:rPr>
        <w:t>202</w:t>
      </w:r>
      <w:r>
        <w:rPr>
          <w:rFonts w:hint="eastAsia" w:ascii="宋体" w:hAnsi="宋体"/>
          <w:b/>
          <w:color w:val="000000"/>
          <w:sz w:val="36"/>
          <w:szCs w:val="36"/>
        </w:rPr>
        <w:t>4级</w:t>
      </w:r>
      <w:r>
        <w:rPr>
          <w:rFonts w:ascii="宋体" w:hAnsi="宋体"/>
          <w:b/>
          <w:color w:val="000000"/>
          <w:sz w:val="36"/>
          <w:szCs w:val="36"/>
        </w:rPr>
        <w:t>全日制硕士研究生培养方案基本内容</w:t>
      </w:r>
    </w:p>
    <w:p>
      <w:pPr>
        <w:spacing w:before="156" w:beforeLines="50" w:after="156" w:afterLines="50" w:line="560" w:lineRule="exact"/>
        <w:jc w:val="center"/>
        <w:rPr>
          <w:rFonts w:ascii="宋体" w:hAnsi="宋体"/>
          <w:b/>
          <w:color w:val="000000"/>
          <w:sz w:val="32"/>
          <w:szCs w:val="32"/>
        </w:rPr>
      </w:pP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一、学科概况（500字以内）</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简要介绍本学科专业（领域）发展历程及现状趋势，在经济社会发展中的作用，与相关学科的联系。要重点突出本学科的特色、优势，取得的重要成果以及在国内外的学术影响。可参考国家颁布的一级学科简介、专业学位设置方案。</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二、研究（专业）方向</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研究（专业）方向要结合本学科（专业）科技、经济、社会发展中具有重大或深远意义的领域，把握本学科领域发展的主流和趋势，使本学科（专业）的研究生培养能够立足于高起点和学科发展前沿，主动适应社会经济发展需求。研究（专业）方向要高度凝炼，鼓励交叉，保持稳定。设置要科学规范，既要考虑普遍性，又要考虑特色和优势，方向不宜过窄，一般为 3-6个，且与学科评估中学科研究（专业）方向基本保持一致。</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三、培养目标及基本要求</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各学科（专业）各类研究生培养目标应参考国务院学位委员会、教育部颁布的《一级学科博士、硕士学位基本要求》、《专业学位类别（领域）博士、硕士学位基本要求》以及全国相应的专业学位研究生教育指导委员会相关文件精神，结合学科特点确定人才培养目标。本次培养方案制订工作要以培养目标和基本要求为依据，要有具体培养措施的配套和支撑。</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四、学制和学习年限</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校研究生采用全日制学习方式，标准学制为3年，实行2～5年弹性管理。凡修满规定学分、科研或应用成果突出并达到学校规定的其他条件者，经导师同意，可申请提前毕业，但最短学习年限不得少于2年。因故不能按标准学制完成全部学业者，征得导师与二级培养单位同意后，报研究生院审批，可适当延长学习年限，但最长不得超过5年（含休学时间）。最长学习年限计算截止日期为当年8月31日。</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五、培养方式</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（一）学术学位硕士</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 实行导师负责制，鼓励实行以导师为主的指导小组负责制。导师负责研究生培养全过程，并对研究生的思想品德、学术道德有引导、示范和监督的责任。</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 各学科应根据自身特色和优势，确定灵活多样的研究生培养方式。不断完善有利于发挥学术群体作用、有利于调动研究生主动性和创造性的培养机制，大力提高研究生的综合素质与能力。</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（二）专业学位硕士</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 实行校内、校外双导师制。以校内导师指导为主，校外导师参与项目研究、实践环节、专业实习、学位论文撰写等多个环节的指导工作。成立导师组，发挥集体指导的作用。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 采取校内课程学习和校外实践教学相结合的培养方式。采用在校学习、实践教学、专业实习和学位论文相结合的培养方式。</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六、课程设置、学分要求与免修免考</w:t>
      </w:r>
    </w:p>
    <w:p>
      <w:pPr>
        <w:spacing w:line="560" w:lineRule="exact"/>
        <w:ind w:firstLine="643" w:firstLineChars="200"/>
        <w:rPr>
          <w:rFonts w:ascii="仿宋_gb2312" w:eastAsia="仿宋_gb2312"/>
          <w:b/>
          <w:bCs/>
          <w:color w:val="000000"/>
          <w:sz w:val="32"/>
          <w:szCs w:val="32"/>
        </w:rPr>
      </w:pPr>
      <w:r>
        <w:rPr>
          <w:rFonts w:hint="eastAsia" w:ascii="仿宋_gb2312" w:eastAsia="仿宋_gb2312"/>
          <w:b/>
          <w:bCs/>
          <w:color w:val="000000"/>
          <w:sz w:val="32"/>
          <w:szCs w:val="32"/>
        </w:rPr>
        <w:t>（一）学术学位硕士生</w:t>
      </w:r>
    </w:p>
    <w:p>
      <w:pPr>
        <w:spacing w:line="56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1. 学分要求</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FF0000"/>
          <w:sz w:val="32"/>
          <w:szCs w:val="32"/>
        </w:rPr>
        <w:t>学术学位硕士生修读总学分为30学分，其中公共学位课5学分，专业学位课12学分，选修课8学分（其中素质选修课2学分），</w:t>
      </w:r>
      <w:r>
        <w:rPr>
          <w:rFonts w:hint="eastAsia" w:ascii="仿宋_gb2312" w:eastAsia="仿宋_gb2312"/>
          <w:color w:val="000000"/>
          <w:sz w:val="32"/>
          <w:szCs w:val="32"/>
        </w:rPr>
        <w:t>培养环节5学分。具体学分要求与开设时间如表2所示。</w:t>
      </w:r>
    </w:p>
    <w:p>
      <w:pPr>
        <w:spacing w:line="500" w:lineRule="exact"/>
        <w:jc w:val="center"/>
        <w:rPr>
          <w:color w:val="000000"/>
          <w:szCs w:val="21"/>
        </w:rPr>
      </w:pPr>
      <w:r>
        <w:rPr>
          <w:color w:val="000000"/>
          <w:szCs w:val="21"/>
        </w:rPr>
        <w:t xml:space="preserve">表2 </w:t>
      </w:r>
      <w:r>
        <w:rPr>
          <w:rFonts w:hint="eastAsia"/>
          <w:color w:val="000000"/>
          <w:szCs w:val="21"/>
        </w:rPr>
        <w:t>学术</w:t>
      </w:r>
      <w:r>
        <w:rPr>
          <w:color w:val="000000"/>
          <w:szCs w:val="21"/>
        </w:rPr>
        <w:t>学位硕士生</w:t>
      </w:r>
      <w:r>
        <w:rPr>
          <w:rFonts w:hint="eastAsia"/>
          <w:color w:val="000000"/>
          <w:szCs w:val="21"/>
        </w:rPr>
        <w:t>课程设置、</w:t>
      </w:r>
      <w:r>
        <w:rPr>
          <w:color w:val="000000"/>
          <w:szCs w:val="21"/>
        </w:rPr>
        <w:t>学分要求与开设时间</w:t>
      </w:r>
    </w:p>
    <w:tbl>
      <w:tblPr>
        <w:tblStyle w:val="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3600"/>
        <w:gridCol w:w="645"/>
        <w:gridCol w:w="1440"/>
        <w:gridCol w:w="1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458" w:type="dxa"/>
            <w:vAlign w:val="center"/>
          </w:tcPr>
          <w:p>
            <w:pPr>
              <w:jc w:val="center"/>
              <w:rPr>
                <w:color w:val="000000"/>
                <w:szCs w:val="21"/>
              </w:rPr>
            </w:pPr>
            <w:r>
              <w:rPr>
                <w:color w:val="000000"/>
                <w:szCs w:val="21"/>
              </w:rPr>
              <w:t>类别</w:t>
            </w:r>
          </w:p>
        </w:tc>
        <w:tc>
          <w:tcPr>
            <w:tcW w:w="3600" w:type="dxa"/>
            <w:vAlign w:val="center"/>
          </w:tcPr>
          <w:p>
            <w:pPr>
              <w:jc w:val="center"/>
              <w:rPr>
                <w:color w:val="000000"/>
                <w:szCs w:val="21"/>
              </w:rPr>
            </w:pPr>
            <w:r>
              <w:rPr>
                <w:color w:val="000000"/>
                <w:szCs w:val="21"/>
              </w:rPr>
              <w:t>课程（环节）名称</w:t>
            </w:r>
          </w:p>
        </w:tc>
        <w:tc>
          <w:tcPr>
            <w:tcW w:w="645" w:type="dxa"/>
            <w:vAlign w:val="center"/>
          </w:tcPr>
          <w:p>
            <w:pPr>
              <w:jc w:val="center"/>
              <w:rPr>
                <w:color w:val="000000"/>
                <w:szCs w:val="21"/>
              </w:rPr>
            </w:pPr>
            <w:r>
              <w:rPr>
                <w:color w:val="000000"/>
                <w:szCs w:val="21"/>
              </w:rPr>
              <w:t>学分</w:t>
            </w:r>
          </w:p>
        </w:tc>
        <w:tc>
          <w:tcPr>
            <w:tcW w:w="1440" w:type="dxa"/>
            <w:vAlign w:val="center"/>
          </w:tcPr>
          <w:p>
            <w:pPr>
              <w:jc w:val="center"/>
              <w:rPr>
                <w:color w:val="000000"/>
                <w:szCs w:val="21"/>
              </w:rPr>
            </w:pPr>
            <w:r>
              <w:rPr>
                <w:color w:val="000000"/>
                <w:szCs w:val="21"/>
              </w:rPr>
              <w:t>开设学期</w:t>
            </w:r>
          </w:p>
        </w:tc>
        <w:tc>
          <w:tcPr>
            <w:tcW w:w="1577" w:type="dxa"/>
            <w:vAlign w:val="center"/>
          </w:tcPr>
          <w:p>
            <w:pPr>
              <w:jc w:val="center"/>
              <w:rPr>
                <w:color w:val="000000"/>
                <w:szCs w:val="21"/>
              </w:rPr>
            </w:pPr>
            <w:r>
              <w:rPr>
                <w:color w:val="00000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restart"/>
            <w:vAlign w:val="center"/>
          </w:tcPr>
          <w:p>
            <w:pPr>
              <w:jc w:val="center"/>
              <w:rPr>
                <w:color w:val="000000"/>
                <w:szCs w:val="21"/>
              </w:rPr>
            </w:pPr>
            <w:r>
              <w:rPr>
                <w:color w:val="000000"/>
                <w:szCs w:val="21"/>
              </w:rPr>
              <w:t>公共</w:t>
            </w:r>
          </w:p>
          <w:p>
            <w:pPr>
              <w:jc w:val="center"/>
              <w:rPr>
                <w:color w:val="000000"/>
                <w:szCs w:val="21"/>
              </w:rPr>
            </w:pPr>
            <w:r>
              <w:rPr>
                <w:color w:val="000000"/>
                <w:szCs w:val="21"/>
              </w:rPr>
              <w:t>学位课</w:t>
            </w:r>
          </w:p>
        </w:tc>
        <w:tc>
          <w:tcPr>
            <w:tcW w:w="3600" w:type="dxa"/>
            <w:vAlign w:val="center"/>
          </w:tcPr>
          <w:p>
            <w:pPr>
              <w:spacing w:line="400" w:lineRule="exact"/>
              <w:jc w:val="center"/>
              <w:rPr>
                <w:color w:val="000000"/>
                <w:szCs w:val="21"/>
              </w:rPr>
            </w:pPr>
            <w:r>
              <w:rPr>
                <w:rFonts w:hint="eastAsia"/>
                <w:color w:val="000000"/>
                <w:szCs w:val="21"/>
              </w:rPr>
              <w:t>新时代</w:t>
            </w:r>
            <w:r>
              <w:rPr>
                <w:color w:val="000000"/>
                <w:szCs w:val="21"/>
              </w:rPr>
              <w:t>中国特色社会主义理论与实践</w:t>
            </w:r>
          </w:p>
        </w:tc>
        <w:tc>
          <w:tcPr>
            <w:tcW w:w="645" w:type="dxa"/>
            <w:vAlign w:val="center"/>
          </w:tcPr>
          <w:p>
            <w:pPr>
              <w:spacing w:line="400" w:lineRule="exact"/>
              <w:jc w:val="center"/>
              <w:rPr>
                <w:color w:val="000000"/>
                <w:szCs w:val="21"/>
              </w:rPr>
            </w:pPr>
            <w:r>
              <w:rPr>
                <w:color w:val="000000"/>
                <w:szCs w:val="21"/>
              </w:rPr>
              <w:t>2</w:t>
            </w:r>
          </w:p>
        </w:tc>
        <w:tc>
          <w:tcPr>
            <w:tcW w:w="1440" w:type="dxa"/>
            <w:vAlign w:val="center"/>
          </w:tcPr>
          <w:p>
            <w:pPr>
              <w:spacing w:line="400" w:lineRule="exact"/>
              <w:jc w:val="center"/>
              <w:rPr>
                <w:color w:val="000000"/>
                <w:szCs w:val="21"/>
              </w:rPr>
            </w:pPr>
            <w:r>
              <w:rPr>
                <w:color w:val="000000"/>
                <w:szCs w:val="21"/>
              </w:rPr>
              <w:t>第一学期</w:t>
            </w:r>
          </w:p>
        </w:tc>
        <w:tc>
          <w:tcPr>
            <w:tcW w:w="1577" w:type="dxa"/>
            <w:vAlign w:val="center"/>
          </w:tcPr>
          <w:p>
            <w:pPr>
              <w:spacing w:line="400" w:lineRule="exact"/>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458" w:type="dxa"/>
            <w:vMerge w:val="continue"/>
            <w:vAlign w:val="center"/>
          </w:tcPr>
          <w:p>
            <w:pPr>
              <w:jc w:val="center"/>
              <w:rPr>
                <w:color w:val="000000"/>
                <w:szCs w:val="21"/>
              </w:rPr>
            </w:pPr>
          </w:p>
        </w:tc>
        <w:tc>
          <w:tcPr>
            <w:tcW w:w="3600" w:type="dxa"/>
            <w:vAlign w:val="center"/>
          </w:tcPr>
          <w:p>
            <w:pPr>
              <w:spacing w:line="400" w:lineRule="exact"/>
              <w:jc w:val="center"/>
              <w:rPr>
                <w:color w:val="000000"/>
                <w:szCs w:val="21"/>
              </w:rPr>
            </w:pPr>
            <w:r>
              <w:rPr>
                <w:color w:val="000000"/>
                <w:szCs w:val="21"/>
              </w:rPr>
              <w:t>自然辩证法概论</w:t>
            </w:r>
          </w:p>
        </w:tc>
        <w:tc>
          <w:tcPr>
            <w:tcW w:w="645" w:type="dxa"/>
            <w:vAlign w:val="center"/>
          </w:tcPr>
          <w:p>
            <w:pPr>
              <w:spacing w:line="400" w:lineRule="exact"/>
              <w:jc w:val="center"/>
              <w:rPr>
                <w:color w:val="000000"/>
                <w:szCs w:val="21"/>
              </w:rPr>
            </w:pPr>
            <w:r>
              <w:rPr>
                <w:color w:val="000000"/>
                <w:szCs w:val="21"/>
              </w:rPr>
              <w:t>1</w:t>
            </w:r>
          </w:p>
        </w:tc>
        <w:tc>
          <w:tcPr>
            <w:tcW w:w="1440" w:type="dxa"/>
            <w:vMerge w:val="restart"/>
            <w:vAlign w:val="center"/>
          </w:tcPr>
          <w:p>
            <w:pPr>
              <w:spacing w:line="400" w:lineRule="exact"/>
              <w:jc w:val="center"/>
              <w:rPr>
                <w:color w:val="000000"/>
                <w:szCs w:val="21"/>
              </w:rPr>
            </w:pPr>
            <w:r>
              <w:rPr>
                <w:color w:val="000000"/>
                <w:szCs w:val="21"/>
              </w:rPr>
              <w:t>第二学期</w:t>
            </w:r>
          </w:p>
        </w:tc>
        <w:tc>
          <w:tcPr>
            <w:tcW w:w="1577" w:type="dxa"/>
            <w:vAlign w:val="center"/>
          </w:tcPr>
          <w:p>
            <w:pPr>
              <w:spacing w:line="400" w:lineRule="exact"/>
              <w:jc w:val="center"/>
              <w:rPr>
                <w:color w:val="000000"/>
                <w:szCs w:val="21"/>
              </w:rPr>
            </w:pPr>
            <w:r>
              <w:rPr>
                <w:color w:val="000000"/>
                <w:szCs w:val="21"/>
              </w:rPr>
              <w:t>理工科类必修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spacing w:line="400" w:lineRule="exact"/>
              <w:jc w:val="center"/>
              <w:rPr>
                <w:color w:val="000000"/>
                <w:szCs w:val="21"/>
              </w:rPr>
            </w:pPr>
            <w:r>
              <w:rPr>
                <w:color w:val="000000"/>
                <w:szCs w:val="21"/>
              </w:rPr>
              <w:t>马克思主义与社会科学方法论</w:t>
            </w:r>
          </w:p>
        </w:tc>
        <w:tc>
          <w:tcPr>
            <w:tcW w:w="645" w:type="dxa"/>
            <w:vAlign w:val="center"/>
          </w:tcPr>
          <w:p>
            <w:pPr>
              <w:spacing w:line="400" w:lineRule="exact"/>
              <w:jc w:val="center"/>
              <w:rPr>
                <w:color w:val="000000"/>
                <w:szCs w:val="21"/>
              </w:rPr>
            </w:pPr>
            <w:r>
              <w:rPr>
                <w:color w:val="000000"/>
                <w:szCs w:val="21"/>
              </w:rPr>
              <w:t>1</w:t>
            </w:r>
          </w:p>
        </w:tc>
        <w:tc>
          <w:tcPr>
            <w:tcW w:w="1440" w:type="dxa"/>
            <w:vMerge w:val="continue"/>
            <w:vAlign w:val="center"/>
          </w:tcPr>
          <w:p>
            <w:pPr>
              <w:spacing w:line="400" w:lineRule="exact"/>
              <w:jc w:val="center"/>
              <w:rPr>
                <w:color w:val="000000"/>
                <w:szCs w:val="21"/>
              </w:rPr>
            </w:pPr>
          </w:p>
        </w:tc>
        <w:tc>
          <w:tcPr>
            <w:tcW w:w="1577" w:type="dxa"/>
            <w:vAlign w:val="center"/>
          </w:tcPr>
          <w:p>
            <w:pPr>
              <w:spacing w:line="400" w:lineRule="exact"/>
              <w:jc w:val="center"/>
              <w:rPr>
                <w:color w:val="000000"/>
                <w:szCs w:val="21"/>
              </w:rPr>
            </w:pPr>
            <w:r>
              <w:rPr>
                <w:color w:val="000000"/>
                <w:szCs w:val="21"/>
              </w:rPr>
              <w:t>大文科类必修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学术交流英语</w:t>
            </w:r>
          </w:p>
        </w:tc>
        <w:tc>
          <w:tcPr>
            <w:tcW w:w="645" w:type="dxa"/>
            <w:vAlign w:val="center"/>
          </w:tcPr>
          <w:p>
            <w:pPr>
              <w:jc w:val="center"/>
              <w:rPr>
                <w:color w:val="000000"/>
                <w:szCs w:val="21"/>
              </w:rPr>
            </w:pPr>
            <w:r>
              <w:rPr>
                <w:rFonts w:hint="eastAsia"/>
                <w:color w:val="FF0000"/>
                <w:szCs w:val="21"/>
              </w:rPr>
              <w:t>2</w:t>
            </w:r>
          </w:p>
        </w:tc>
        <w:tc>
          <w:tcPr>
            <w:tcW w:w="1440" w:type="dxa"/>
            <w:vAlign w:val="center"/>
          </w:tcPr>
          <w:p>
            <w:pPr>
              <w:jc w:val="center"/>
              <w:rPr>
                <w:color w:val="000000"/>
                <w:szCs w:val="21"/>
              </w:rPr>
            </w:pPr>
            <w:r>
              <w:rPr>
                <w:color w:val="000000"/>
                <w:szCs w:val="21"/>
              </w:rPr>
              <w:t>第一学期</w:t>
            </w:r>
          </w:p>
        </w:tc>
        <w:tc>
          <w:tcPr>
            <w:tcW w:w="1577" w:type="dxa"/>
            <w:vAlign w:val="center"/>
          </w:tcPr>
          <w:p>
            <w:pPr>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restart"/>
            <w:vAlign w:val="center"/>
          </w:tcPr>
          <w:p>
            <w:pPr>
              <w:jc w:val="center"/>
              <w:rPr>
                <w:color w:val="000000"/>
                <w:szCs w:val="21"/>
              </w:rPr>
            </w:pPr>
            <w:r>
              <w:rPr>
                <w:rFonts w:hint="eastAsia"/>
                <w:color w:val="000000"/>
                <w:szCs w:val="21"/>
              </w:rPr>
              <w:t>专业</w:t>
            </w:r>
            <w:r>
              <w:rPr>
                <w:color w:val="000000"/>
                <w:szCs w:val="21"/>
              </w:rPr>
              <w:t>学</w:t>
            </w:r>
            <w:r>
              <w:rPr>
                <w:rFonts w:hint="eastAsia"/>
                <w:color w:val="000000"/>
                <w:szCs w:val="21"/>
              </w:rPr>
              <w:t>位课</w:t>
            </w:r>
          </w:p>
          <w:p>
            <w:pPr>
              <w:jc w:val="center"/>
              <w:rPr>
                <w:color w:val="000000"/>
                <w:szCs w:val="21"/>
              </w:rPr>
            </w:pPr>
          </w:p>
        </w:tc>
        <w:tc>
          <w:tcPr>
            <w:tcW w:w="3600" w:type="dxa"/>
            <w:vAlign w:val="center"/>
          </w:tcPr>
          <w:p>
            <w:pPr>
              <w:jc w:val="left"/>
              <w:rPr>
                <w:color w:val="000000"/>
                <w:szCs w:val="21"/>
              </w:rPr>
            </w:pPr>
            <w:r>
              <w:rPr>
                <w:color w:val="000000"/>
                <w:szCs w:val="21"/>
              </w:rPr>
              <w:t>方法类、前沿类和综合类课程</w:t>
            </w:r>
          </w:p>
        </w:tc>
        <w:tc>
          <w:tcPr>
            <w:tcW w:w="645" w:type="dxa"/>
            <w:vAlign w:val="center"/>
          </w:tcPr>
          <w:p>
            <w:pPr>
              <w:jc w:val="center"/>
              <w:rPr>
                <w:color w:val="FF0000"/>
                <w:szCs w:val="21"/>
              </w:rPr>
            </w:pPr>
            <w:r>
              <w:rPr>
                <w:rFonts w:hint="eastAsia"/>
                <w:color w:val="FF0000"/>
                <w:szCs w:val="21"/>
              </w:rPr>
              <w:t>3</w:t>
            </w:r>
          </w:p>
        </w:tc>
        <w:tc>
          <w:tcPr>
            <w:tcW w:w="1440" w:type="dxa"/>
            <w:vAlign w:val="center"/>
          </w:tcPr>
          <w:p>
            <w:pPr>
              <w:jc w:val="center"/>
              <w:rPr>
                <w:color w:val="000000"/>
                <w:szCs w:val="21"/>
              </w:rPr>
            </w:pPr>
          </w:p>
        </w:tc>
        <w:tc>
          <w:tcPr>
            <w:tcW w:w="1577" w:type="dxa"/>
            <w:vMerge w:val="restart"/>
            <w:vAlign w:val="center"/>
          </w:tcPr>
          <w:p>
            <w:pPr>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论文写作与学术规范</w:t>
            </w:r>
          </w:p>
        </w:tc>
        <w:tc>
          <w:tcPr>
            <w:tcW w:w="645" w:type="dxa"/>
            <w:vAlign w:val="center"/>
          </w:tcPr>
          <w:p>
            <w:pPr>
              <w:jc w:val="center"/>
              <w:rPr>
                <w:color w:val="FF0000"/>
                <w:szCs w:val="21"/>
              </w:rPr>
            </w:pPr>
            <w:r>
              <w:rPr>
                <w:rFonts w:hint="eastAsia"/>
                <w:color w:val="FF0000"/>
                <w:szCs w:val="21"/>
              </w:rPr>
              <w:t>1</w:t>
            </w:r>
          </w:p>
        </w:tc>
        <w:tc>
          <w:tcPr>
            <w:tcW w:w="1440" w:type="dxa"/>
            <w:vAlign w:val="center"/>
          </w:tcPr>
          <w:p>
            <w:pPr>
              <w:jc w:val="center"/>
              <w:rPr>
                <w:color w:val="000000"/>
                <w:szCs w:val="21"/>
              </w:rPr>
            </w:pPr>
          </w:p>
        </w:tc>
        <w:tc>
          <w:tcPr>
            <w:tcW w:w="1577" w:type="dxa"/>
            <w:vMerge w:val="continue"/>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专业核心课</w:t>
            </w:r>
          </w:p>
        </w:tc>
        <w:tc>
          <w:tcPr>
            <w:tcW w:w="645" w:type="dxa"/>
            <w:vAlign w:val="center"/>
          </w:tcPr>
          <w:p>
            <w:pPr>
              <w:jc w:val="center"/>
              <w:rPr>
                <w:color w:val="FF0000"/>
                <w:szCs w:val="21"/>
              </w:rPr>
            </w:pPr>
            <w:r>
              <w:rPr>
                <w:color w:val="FF0000"/>
                <w:szCs w:val="21"/>
              </w:rPr>
              <w:t>8</w:t>
            </w:r>
          </w:p>
        </w:tc>
        <w:tc>
          <w:tcPr>
            <w:tcW w:w="1440" w:type="dxa"/>
            <w:vAlign w:val="center"/>
          </w:tcPr>
          <w:p>
            <w:pPr>
              <w:jc w:val="center"/>
              <w:rPr>
                <w:color w:val="000000"/>
                <w:szCs w:val="21"/>
              </w:rPr>
            </w:pPr>
          </w:p>
        </w:tc>
        <w:tc>
          <w:tcPr>
            <w:tcW w:w="1577" w:type="dxa"/>
            <w:vAlign w:val="center"/>
          </w:tcPr>
          <w:p>
            <w:pPr>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Align w:val="center"/>
          </w:tcPr>
          <w:p>
            <w:pPr>
              <w:jc w:val="center"/>
              <w:rPr>
                <w:color w:val="000000"/>
                <w:szCs w:val="21"/>
              </w:rPr>
            </w:pPr>
            <w:r>
              <w:rPr>
                <w:rFonts w:hint="eastAsia"/>
                <w:color w:val="000000"/>
                <w:szCs w:val="21"/>
              </w:rPr>
              <w:t>专业选修课</w:t>
            </w:r>
          </w:p>
        </w:tc>
        <w:tc>
          <w:tcPr>
            <w:tcW w:w="3600" w:type="dxa"/>
            <w:vAlign w:val="center"/>
          </w:tcPr>
          <w:p>
            <w:pPr>
              <w:jc w:val="center"/>
              <w:rPr>
                <w:color w:val="000000"/>
                <w:szCs w:val="21"/>
              </w:rPr>
            </w:pPr>
            <w:r>
              <w:rPr>
                <w:rFonts w:hint="eastAsia"/>
                <w:color w:val="000000"/>
                <w:szCs w:val="21"/>
              </w:rPr>
              <w:t>专业方向与领域课</w:t>
            </w:r>
          </w:p>
        </w:tc>
        <w:tc>
          <w:tcPr>
            <w:tcW w:w="645" w:type="dxa"/>
            <w:vAlign w:val="center"/>
          </w:tcPr>
          <w:p>
            <w:pPr>
              <w:jc w:val="center"/>
              <w:rPr>
                <w:color w:val="000000"/>
                <w:szCs w:val="21"/>
              </w:rPr>
            </w:pPr>
            <w:r>
              <w:rPr>
                <w:rFonts w:hint="eastAsia"/>
                <w:color w:val="FF0000"/>
                <w:szCs w:val="21"/>
              </w:rPr>
              <w:t>6</w:t>
            </w:r>
          </w:p>
        </w:tc>
        <w:tc>
          <w:tcPr>
            <w:tcW w:w="1440" w:type="dxa"/>
            <w:vAlign w:val="center"/>
          </w:tcPr>
          <w:p>
            <w:pPr>
              <w:jc w:val="center"/>
              <w:rPr>
                <w:color w:val="000000"/>
                <w:szCs w:val="21"/>
              </w:rPr>
            </w:pPr>
          </w:p>
        </w:tc>
        <w:tc>
          <w:tcPr>
            <w:tcW w:w="1577" w:type="dxa"/>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Align w:val="center"/>
          </w:tcPr>
          <w:p>
            <w:pPr>
              <w:jc w:val="center"/>
              <w:rPr>
                <w:color w:val="000000"/>
                <w:szCs w:val="21"/>
              </w:rPr>
            </w:pPr>
            <w:r>
              <w:rPr>
                <w:rFonts w:hint="eastAsia"/>
                <w:color w:val="000000"/>
                <w:szCs w:val="21"/>
              </w:rPr>
              <w:t>素质选修课</w:t>
            </w:r>
          </w:p>
        </w:tc>
        <w:tc>
          <w:tcPr>
            <w:tcW w:w="3600" w:type="dxa"/>
            <w:vAlign w:val="center"/>
          </w:tcPr>
          <w:p>
            <w:pPr>
              <w:jc w:val="center"/>
              <w:rPr>
                <w:color w:val="000000"/>
                <w:szCs w:val="21"/>
              </w:rPr>
            </w:pPr>
            <w:r>
              <w:rPr>
                <w:rFonts w:hint="eastAsia" w:ascii="仿宋" w:hAnsi="仿宋" w:cs="宋体"/>
                <w:szCs w:val="21"/>
              </w:rPr>
              <w:t>数智技术前沿类、“双碳”与绿色发展类、人文素养类、创新创业类</w:t>
            </w:r>
          </w:p>
        </w:tc>
        <w:tc>
          <w:tcPr>
            <w:tcW w:w="645" w:type="dxa"/>
            <w:vAlign w:val="center"/>
          </w:tcPr>
          <w:p>
            <w:pPr>
              <w:jc w:val="center"/>
              <w:rPr>
                <w:color w:val="000000"/>
                <w:szCs w:val="21"/>
              </w:rPr>
            </w:pPr>
            <w:r>
              <w:rPr>
                <w:rFonts w:hint="eastAsia"/>
                <w:color w:val="000000"/>
                <w:szCs w:val="21"/>
              </w:rPr>
              <w:t>2</w:t>
            </w:r>
          </w:p>
        </w:tc>
        <w:tc>
          <w:tcPr>
            <w:tcW w:w="1440" w:type="dxa"/>
            <w:vAlign w:val="center"/>
          </w:tcPr>
          <w:p>
            <w:pPr>
              <w:jc w:val="center"/>
              <w:rPr>
                <w:color w:val="000000"/>
                <w:szCs w:val="21"/>
              </w:rPr>
            </w:pPr>
          </w:p>
        </w:tc>
        <w:tc>
          <w:tcPr>
            <w:tcW w:w="1577" w:type="dxa"/>
            <w:vAlign w:val="center"/>
          </w:tcPr>
          <w:p>
            <w:pPr>
              <w:jc w:val="center"/>
              <w:rPr>
                <w:color w:val="000000"/>
                <w:szCs w:val="21"/>
              </w:rPr>
            </w:pPr>
            <w:r>
              <w:rPr>
                <w:color w:val="000000"/>
                <w:szCs w:val="21"/>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restart"/>
            <w:vAlign w:val="center"/>
          </w:tcPr>
          <w:p>
            <w:pPr>
              <w:jc w:val="center"/>
              <w:rPr>
                <w:color w:val="000000"/>
                <w:szCs w:val="21"/>
              </w:rPr>
            </w:pPr>
            <w:r>
              <w:rPr>
                <w:color w:val="000000"/>
                <w:szCs w:val="21"/>
              </w:rPr>
              <w:t>培养</w:t>
            </w:r>
          </w:p>
          <w:p>
            <w:pPr>
              <w:jc w:val="center"/>
              <w:rPr>
                <w:color w:val="000000"/>
                <w:szCs w:val="21"/>
              </w:rPr>
            </w:pPr>
            <w:r>
              <w:rPr>
                <w:color w:val="000000"/>
                <w:szCs w:val="21"/>
              </w:rPr>
              <w:t>环节</w:t>
            </w:r>
          </w:p>
        </w:tc>
        <w:tc>
          <w:tcPr>
            <w:tcW w:w="3600" w:type="dxa"/>
            <w:vAlign w:val="center"/>
          </w:tcPr>
          <w:p>
            <w:pPr>
              <w:jc w:val="center"/>
              <w:rPr>
                <w:color w:val="000000"/>
                <w:szCs w:val="21"/>
              </w:rPr>
            </w:pPr>
            <w:r>
              <w:rPr>
                <w:color w:val="000000"/>
                <w:szCs w:val="21"/>
              </w:rPr>
              <w:t>学术研讨</w:t>
            </w:r>
            <w:r>
              <w:rPr>
                <w:rFonts w:hint="eastAsia"/>
                <w:color w:val="000000"/>
                <w:szCs w:val="21"/>
              </w:rPr>
              <w:t>与交流</w:t>
            </w:r>
          </w:p>
        </w:tc>
        <w:tc>
          <w:tcPr>
            <w:tcW w:w="645" w:type="dxa"/>
            <w:vAlign w:val="center"/>
          </w:tcPr>
          <w:p>
            <w:pPr>
              <w:jc w:val="center"/>
              <w:rPr>
                <w:color w:val="000000"/>
                <w:szCs w:val="21"/>
              </w:rPr>
            </w:pPr>
            <w:r>
              <w:rPr>
                <w:color w:val="000000"/>
                <w:szCs w:val="21"/>
              </w:rPr>
              <w:t>1</w:t>
            </w:r>
          </w:p>
        </w:tc>
        <w:tc>
          <w:tcPr>
            <w:tcW w:w="1440" w:type="dxa"/>
            <w:vMerge w:val="restart"/>
            <w:vAlign w:val="center"/>
          </w:tcPr>
          <w:p>
            <w:pPr>
              <w:jc w:val="center"/>
              <w:rPr>
                <w:color w:val="000000"/>
                <w:szCs w:val="21"/>
              </w:rPr>
            </w:pPr>
          </w:p>
        </w:tc>
        <w:tc>
          <w:tcPr>
            <w:tcW w:w="1577" w:type="dxa"/>
            <w:vMerge w:val="restart"/>
            <w:vAlign w:val="center"/>
          </w:tcPr>
          <w:p>
            <w:pPr>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学术报告</w:t>
            </w:r>
          </w:p>
        </w:tc>
        <w:tc>
          <w:tcPr>
            <w:tcW w:w="645" w:type="dxa"/>
            <w:vAlign w:val="center"/>
          </w:tcPr>
          <w:p>
            <w:pPr>
              <w:jc w:val="center"/>
              <w:rPr>
                <w:color w:val="000000"/>
                <w:szCs w:val="21"/>
              </w:rPr>
            </w:pPr>
            <w:r>
              <w:rPr>
                <w:color w:val="000000"/>
                <w:szCs w:val="21"/>
              </w:rPr>
              <w:t>1</w:t>
            </w:r>
          </w:p>
        </w:tc>
        <w:tc>
          <w:tcPr>
            <w:tcW w:w="1440" w:type="dxa"/>
            <w:vMerge w:val="continue"/>
            <w:vAlign w:val="center"/>
          </w:tcPr>
          <w:p>
            <w:pPr>
              <w:jc w:val="center"/>
              <w:rPr>
                <w:color w:val="000000"/>
                <w:szCs w:val="21"/>
              </w:rPr>
            </w:pPr>
          </w:p>
        </w:tc>
        <w:tc>
          <w:tcPr>
            <w:tcW w:w="1577" w:type="dxa"/>
            <w:vMerge w:val="continue"/>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科研训练</w:t>
            </w:r>
          </w:p>
        </w:tc>
        <w:tc>
          <w:tcPr>
            <w:tcW w:w="645" w:type="dxa"/>
            <w:vAlign w:val="center"/>
          </w:tcPr>
          <w:p>
            <w:pPr>
              <w:jc w:val="center"/>
              <w:rPr>
                <w:color w:val="000000"/>
                <w:szCs w:val="21"/>
              </w:rPr>
            </w:pPr>
            <w:r>
              <w:rPr>
                <w:color w:val="000000"/>
                <w:szCs w:val="21"/>
              </w:rPr>
              <w:t>2</w:t>
            </w:r>
          </w:p>
        </w:tc>
        <w:tc>
          <w:tcPr>
            <w:tcW w:w="1440" w:type="dxa"/>
            <w:vMerge w:val="continue"/>
            <w:vAlign w:val="center"/>
          </w:tcPr>
          <w:p>
            <w:pPr>
              <w:jc w:val="center"/>
              <w:rPr>
                <w:color w:val="000000"/>
                <w:szCs w:val="21"/>
              </w:rPr>
            </w:pPr>
          </w:p>
        </w:tc>
        <w:tc>
          <w:tcPr>
            <w:tcW w:w="1577" w:type="dxa"/>
            <w:vMerge w:val="continue"/>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社会实践</w:t>
            </w:r>
          </w:p>
        </w:tc>
        <w:tc>
          <w:tcPr>
            <w:tcW w:w="645" w:type="dxa"/>
            <w:vAlign w:val="center"/>
          </w:tcPr>
          <w:p>
            <w:pPr>
              <w:jc w:val="center"/>
              <w:rPr>
                <w:color w:val="000000"/>
                <w:szCs w:val="21"/>
              </w:rPr>
            </w:pPr>
            <w:r>
              <w:rPr>
                <w:color w:val="000000"/>
                <w:szCs w:val="21"/>
              </w:rPr>
              <w:t>1</w:t>
            </w:r>
          </w:p>
        </w:tc>
        <w:tc>
          <w:tcPr>
            <w:tcW w:w="1440" w:type="dxa"/>
            <w:vMerge w:val="continue"/>
            <w:vAlign w:val="center"/>
          </w:tcPr>
          <w:p>
            <w:pPr>
              <w:jc w:val="center"/>
              <w:rPr>
                <w:color w:val="000000"/>
                <w:szCs w:val="21"/>
              </w:rPr>
            </w:pPr>
          </w:p>
        </w:tc>
        <w:tc>
          <w:tcPr>
            <w:tcW w:w="1577" w:type="dxa"/>
            <w:vMerge w:val="continue"/>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458" w:type="dxa"/>
            <w:vAlign w:val="center"/>
          </w:tcPr>
          <w:p>
            <w:pPr>
              <w:jc w:val="center"/>
              <w:rPr>
                <w:color w:val="000000"/>
                <w:szCs w:val="21"/>
              </w:rPr>
            </w:pPr>
            <w:r>
              <w:rPr>
                <w:color w:val="000000"/>
                <w:szCs w:val="21"/>
              </w:rPr>
              <w:t>补修课</w:t>
            </w:r>
          </w:p>
        </w:tc>
        <w:tc>
          <w:tcPr>
            <w:tcW w:w="3600" w:type="dxa"/>
            <w:vAlign w:val="center"/>
          </w:tcPr>
          <w:p>
            <w:pPr>
              <w:jc w:val="center"/>
              <w:rPr>
                <w:color w:val="000000"/>
                <w:szCs w:val="21"/>
              </w:rPr>
            </w:pPr>
            <w:r>
              <w:rPr>
                <w:color w:val="000000"/>
                <w:szCs w:val="21"/>
              </w:rPr>
              <w:t>本专业本科阶段核心课程</w:t>
            </w:r>
          </w:p>
        </w:tc>
        <w:tc>
          <w:tcPr>
            <w:tcW w:w="645" w:type="dxa"/>
            <w:vAlign w:val="center"/>
          </w:tcPr>
          <w:p>
            <w:pPr>
              <w:jc w:val="center"/>
              <w:rPr>
                <w:color w:val="000000"/>
                <w:szCs w:val="21"/>
              </w:rPr>
            </w:pPr>
            <w:r>
              <w:rPr>
                <w:color w:val="000000"/>
                <w:szCs w:val="21"/>
              </w:rPr>
              <w:t>-</w:t>
            </w:r>
          </w:p>
        </w:tc>
        <w:tc>
          <w:tcPr>
            <w:tcW w:w="1440" w:type="dxa"/>
            <w:vAlign w:val="center"/>
          </w:tcPr>
          <w:p>
            <w:pPr>
              <w:jc w:val="center"/>
              <w:rPr>
                <w:color w:val="000000"/>
                <w:szCs w:val="21"/>
              </w:rPr>
            </w:pPr>
          </w:p>
        </w:tc>
        <w:tc>
          <w:tcPr>
            <w:tcW w:w="1577" w:type="dxa"/>
            <w:vAlign w:val="center"/>
          </w:tcPr>
          <w:p>
            <w:pPr>
              <w:jc w:val="center"/>
              <w:rPr>
                <w:color w:val="000000"/>
                <w:szCs w:val="21"/>
              </w:rPr>
            </w:pPr>
            <w:r>
              <w:rPr>
                <w:color w:val="000000"/>
                <w:szCs w:val="21"/>
              </w:rPr>
              <w:t>必修</w:t>
            </w:r>
          </w:p>
        </w:tc>
      </w:tr>
    </w:tbl>
    <w:p>
      <w:pPr>
        <w:spacing w:line="500" w:lineRule="exact"/>
        <w:ind w:firstLine="560" w:firstLineChars="200"/>
        <w:rPr>
          <w:rFonts w:ascii="仿宋_gb2312" w:eastAsia="仿宋_gb2312"/>
          <w:color w:val="FF0000"/>
          <w:sz w:val="28"/>
          <w:szCs w:val="28"/>
        </w:rPr>
      </w:pPr>
      <w:r>
        <w:rPr>
          <w:rFonts w:hint="eastAsia" w:ascii="仿宋_gb2312" w:hAnsi="宋体" w:eastAsia="仿宋_gb2312" w:cs="宋体"/>
          <w:color w:val="000000"/>
          <w:sz w:val="28"/>
          <w:szCs w:val="28"/>
        </w:rPr>
        <w:t>注：公共学位课为研究生的必修课程，所有研究生必修“新时代中国特色社会主义理论与实践”，大文科类研究生必选“马克思主义与社会科学方法论”修读；理工类研究生必选“自然辩证法概论”修读；学术交流英语主要训练研究生的“听”“说”能力</w:t>
      </w:r>
      <w:r>
        <w:rPr>
          <w:rFonts w:hint="eastAsia" w:ascii="仿宋_gb2312" w:eastAsia="仿宋_gb2312"/>
          <w:color w:val="000000"/>
          <w:sz w:val="28"/>
          <w:szCs w:val="28"/>
        </w:rPr>
        <w:t>。</w:t>
      </w:r>
      <w:r>
        <w:rPr>
          <w:rFonts w:hint="eastAsia" w:ascii="仿宋_gb2312" w:eastAsia="仿宋_gb2312"/>
          <w:color w:val="FF0000"/>
          <w:sz w:val="28"/>
          <w:szCs w:val="28"/>
        </w:rPr>
        <w:t>16课时对应1个学分。</w:t>
      </w:r>
    </w:p>
    <w:p>
      <w:p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2. 课程设置要求</w:t>
      </w:r>
    </w:p>
    <w:p>
      <w:pPr>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（1）专业学位课设置应符合国家对本一级学科研究生应具有的基础理论和专门知识结构的要求，应重点参考《学术学位研究生核心课程指南》中所列课程。</w:t>
      </w:r>
    </w:p>
    <w:p>
      <w:pPr>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选修课是为研究生进一步拓宽专业基础理论、扩大知识面、突出二级学科（方向）知识体系特色及素质能力的培养而设置的课程，专业类选修课可参考《学术学位研究生核心课程指南》中所列课程设置，总学分为8学分，其中素质选修课应修总学分2学分。</w:t>
      </w:r>
    </w:p>
    <w:p>
      <w:pPr>
        <w:spacing w:line="580" w:lineRule="exact"/>
        <w:jc w:val="left"/>
        <w:rPr>
          <w:rFonts w:ascii="仿宋_gb2312" w:eastAsia="仿宋_gb2312"/>
          <w:color w:val="000000"/>
          <w:sz w:val="32"/>
          <w:szCs w:val="32"/>
        </w:rPr>
      </w:pPr>
      <w:r>
        <w:rPr>
          <w:rFonts w:hint="eastAsia" w:ascii="仿宋_gb2312" w:eastAsia="仿宋_gb2312"/>
          <w:color w:val="000000"/>
          <w:sz w:val="32"/>
          <w:szCs w:val="32"/>
        </w:rPr>
        <w:t xml:space="preserve">    （3）培养环节包含学术活动、科研训练和社会实践等。各学院应根据学科自身特点合理安排研究生各培养环节的时间与内容，并将其贯穿于研究生教育的全过程，各培养环节要有明确的内容与要求、合理的时间安排和严格的考核办法。</w:t>
      </w:r>
      <w:r>
        <w:rPr>
          <w:rFonts w:hint="eastAsia" w:ascii="仿宋_gb2312" w:eastAsia="仿宋_gb2312"/>
          <w:color w:val="FF0000"/>
          <w:sz w:val="32"/>
          <w:szCs w:val="32"/>
        </w:rPr>
        <w:t>在社会实践环节中增加劳动教育内容。</w:t>
      </w:r>
      <w:r>
        <w:rPr>
          <w:rFonts w:ascii="仿宋_gb2312" w:eastAsia="仿宋_gb2312"/>
          <w:color w:val="FF0000"/>
          <w:sz w:val="32"/>
          <w:szCs w:val="32"/>
        </w:rPr>
        <w:br w:type="textWrapping"/>
      </w:r>
      <w:r>
        <w:rPr>
          <w:rFonts w:hint="eastAsia" w:ascii="仿宋_gb2312" w:eastAsia="仿宋_gb2312"/>
          <w:color w:val="FF0000"/>
          <w:sz w:val="32"/>
          <w:szCs w:val="32"/>
        </w:rPr>
        <w:t xml:space="preserve"> </w:t>
      </w:r>
      <w:r>
        <w:rPr>
          <w:rFonts w:ascii="仿宋_gb2312" w:eastAsia="仿宋_gb2312"/>
          <w:color w:val="FF0000"/>
          <w:sz w:val="32"/>
          <w:szCs w:val="32"/>
        </w:rPr>
        <w:t xml:space="preserve">  </w:t>
      </w:r>
      <w:r>
        <w:rPr>
          <w:rFonts w:hint="eastAsia" w:ascii="仿宋_gb2312" w:eastAsia="仿宋_gb2312"/>
          <w:color w:val="FF0000"/>
          <w:sz w:val="32"/>
          <w:szCs w:val="32"/>
        </w:rPr>
        <w:t>“引导学生在社会实践中树立正确的劳动观念、具有必备的劳动能力、培育积极的劳动精神、养成良好的劳动习惯和品质，全面提高学生劳动素养”。</w:t>
      </w:r>
    </w:p>
    <w:p>
      <w:pPr>
        <w:spacing w:line="580" w:lineRule="exact"/>
        <w:ind w:firstLine="640" w:firstLineChars="200"/>
        <w:rPr>
          <w:rFonts w:ascii="仿宋_gb2312" w:hAnsi="宋体" w:eastAsia="仿宋_gb2312"/>
          <w:color w:val="000000"/>
          <w:sz w:val="32"/>
          <w:szCs w:val="32"/>
        </w:rPr>
      </w:pPr>
      <w:r>
        <w:rPr>
          <w:rFonts w:hint="eastAsia" w:ascii="仿宋_gb2312" w:eastAsia="仿宋_gb2312"/>
          <w:color w:val="000000"/>
          <w:sz w:val="32"/>
          <w:szCs w:val="32"/>
        </w:rPr>
        <w:t>（4）</w:t>
      </w:r>
      <w:r>
        <w:rPr>
          <w:rFonts w:hint="eastAsia" w:ascii="仿宋_gb2312" w:hAnsi="宋体" w:eastAsia="仿宋_gb2312"/>
          <w:color w:val="000000"/>
          <w:sz w:val="32"/>
          <w:szCs w:val="32"/>
        </w:rPr>
        <w:t>补修课。</w:t>
      </w:r>
      <w:r>
        <w:rPr>
          <w:rFonts w:hint="eastAsia" w:ascii="仿宋_gb2312" w:eastAsia="仿宋_gb2312"/>
          <w:color w:val="000000"/>
          <w:sz w:val="32"/>
          <w:szCs w:val="32"/>
        </w:rPr>
        <w:t>跨专业考入或以同等学力考入的硕士研究生，必须补修该专业本科阶段核心课程，</w:t>
      </w:r>
      <w:r>
        <w:rPr>
          <w:rFonts w:hint="eastAsia" w:ascii="仿宋_gb2312" w:eastAsia="仿宋_gb2312"/>
          <w:color w:val="FF0000"/>
          <w:sz w:val="32"/>
          <w:szCs w:val="32"/>
        </w:rPr>
        <w:t>一般不少于2门</w:t>
      </w:r>
      <w:r>
        <w:rPr>
          <w:rFonts w:hint="eastAsia" w:ascii="仿宋_gb2312" w:eastAsia="仿宋_gb2312"/>
          <w:color w:val="000000"/>
          <w:sz w:val="32"/>
          <w:szCs w:val="32"/>
        </w:rPr>
        <w:t>。补修课不记学分，但要有科目和成绩要求。凡有补修课程未修完或补修成绩不合格者，不能参加学位论文答辩。</w:t>
      </w:r>
    </w:p>
    <w:p>
      <w:p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（二）专业学位硕士生</w:t>
      </w:r>
    </w:p>
    <w:p>
      <w:p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1. 学分要求</w:t>
      </w:r>
    </w:p>
    <w:p>
      <w:pPr>
        <w:spacing w:line="580" w:lineRule="exact"/>
        <w:ind w:firstLine="640" w:firstLineChars="200"/>
        <w:rPr>
          <w:rFonts w:ascii="仿宋_gb2312" w:eastAsia="仿宋_gb2312"/>
          <w:color w:val="000000"/>
          <w:sz w:val="32"/>
          <w:szCs w:val="32"/>
        </w:rPr>
      </w:pPr>
      <w:r>
        <w:rPr>
          <w:rFonts w:hint="eastAsia" w:ascii="仿宋_gb2312" w:eastAsia="仿宋_gb2312"/>
          <w:color w:val="FF0000"/>
          <w:sz w:val="32"/>
          <w:szCs w:val="32"/>
        </w:rPr>
        <w:t>专业学位硕士生修读总学分参照按各专业学位点全国教指委指导性培养方案要求执行。相关版块名称与课程学分要求除明确规定之外，相应版块课程与学分按专业学位点全国教指委指导性培养方案要求设置，具体见表3所示</w:t>
      </w:r>
      <w:r>
        <w:rPr>
          <w:rFonts w:hint="eastAsia" w:ascii="仿宋_gb2312" w:eastAsia="仿宋_gb2312"/>
          <w:color w:val="000000"/>
          <w:sz w:val="32"/>
          <w:szCs w:val="32"/>
        </w:rPr>
        <w:t>。</w:t>
      </w:r>
    </w:p>
    <w:p>
      <w:pPr>
        <w:spacing w:line="500" w:lineRule="exact"/>
        <w:jc w:val="center"/>
        <w:rPr>
          <w:color w:val="000000"/>
          <w:szCs w:val="21"/>
        </w:rPr>
      </w:pPr>
      <w:r>
        <w:rPr>
          <w:color w:val="000000"/>
          <w:szCs w:val="21"/>
        </w:rPr>
        <w:t xml:space="preserve">表3 </w:t>
      </w:r>
      <w:r>
        <w:rPr>
          <w:rFonts w:hint="eastAsia"/>
          <w:color w:val="000000"/>
          <w:szCs w:val="21"/>
        </w:rPr>
        <w:t xml:space="preserve"> </w:t>
      </w:r>
      <w:r>
        <w:rPr>
          <w:color w:val="000000"/>
          <w:szCs w:val="21"/>
        </w:rPr>
        <w:t>专业学位硕士生课程设置、学分要求与开设时间</w:t>
      </w:r>
    </w:p>
    <w:tbl>
      <w:tblPr>
        <w:tblStyle w:val="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3600"/>
        <w:gridCol w:w="780"/>
        <w:gridCol w:w="1245"/>
        <w:gridCol w:w="1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458" w:type="dxa"/>
            <w:vAlign w:val="center"/>
          </w:tcPr>
          <w:p>
            <w:pPr>
              <w:jc w:val="center"/>
              <w:rPr>
                <w:color w:val="000000"/>
                <w:szCs w:val="21"/>
              </w:rPr>
            </w:pPr>
            <w:r>
              <w:rPr>
                <w:color w:val="000000"/>
                <w:szCs w:val="21"/>
              </w:rPr>
              <w:t>类别</w:t>
            </w:r>
          </w:p>
        </w:tc>
        <w:tc>
          <w:tcPr>
            <w:tcW w:w="3600" w:type="dxa"/>
            <w:vAlign w:val="center"/>
          </w:tcPr>
          <w:p>
            <w:pPr>
              <w:jc w:val="center"/>
              <w:rPr>
                <w:color w:val="000000"/>
                <w:szCs w:val="21"/>
              </w:rPr>
            </w:pPr>
            <w:r>
              <w:rPr>
                <w:color w:val="000000"/>
                <w:szCs w:val="21"/>
              </w:rPr>
              <w:t>课程（环节）名称</w:t>
            </w:r>
          </w:p>
        </w:tc>
        <w:tc>
          <w:tcPr>
            <w:tcW w:w="780" w:type="dxa"/>
            <w:vAlign w:val="center"/>
          </w:tcPr>
          <w:p>
            <w:pPr>
              <w:jc w:val="center"/>
              <w:rPr>
                <w:color w:val="000000"/>
                <w:szCs w:val="21"/>
              </w:rPr>
            </w:pPr>
            <w:r>
              <w:rPr>
                <w:color w:val="000000"/>
                <w:szCs w:val="21"/>
              </w:rPr>
              <w:t>学分</w:t>
            </w:r>
          </w:p>
        </w:tc>
        <w:tc>
          <w:tcPr>
            <w:tcW w:w="1245" w:type="dxa"/>
            <w:vAlign w:val="center"/>
          </w:tcPr>
          <w:p>
            <w:pPr>
              <w:jc w:val="center"/>
              <w:rPr>
                <w:color w:val="000000"/>
                <w:szCs w:val="21"/>
              </w:rPr>
            </w:pPr>
            <w:r>
              <w:rPr>
                <w:color w:val="000000"/>
                <w:szCs w:val="21"/>
              </w:rPr>
              <w:t>开设学期</w:t>
            </w:r>
          </w:p>
        </w:tc>
        <w:tc>
          <w:tcPr>
            <w:tcW w:w="1637" w:type="dxa"/>
            <w:vAlign w:val="center"/>
          </w:tcPr>
          <w:p>
            <w:pPr>
              <w:jc w:val="center"/>
              <w:rPr>
                <w:color w:val="000000"/>
                <w:szCs w:val="21"/>
              </w:rPr>
            </w:pPr>
            <w:r>
              <w:rPr>
                <w:color w:val="00000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restart"/>
            <w:vAlign w:val="center"/>
          </w:tcPr>
          <w:p>
            <w:pPr>
              <w:jc w:val="center"/>
              <w:rPr>
                <w:color w:val="000000"/>
                <w:szCs w:val="21"/>
              </w:rPr>
            </w:pPr>
            <w:r>
              <w:rPr>
                <w:color w:val="000000"/>
                <w:szCs w:val="21"/>
              </w:rPr>
              <w:t>公共</w:t>
            </w:r>
          </w:p>
          <w:p>
            <w:pPr>
              <w:jc w:val="center"/>
              <w:rPr>
                <w:color w:val="000000"/>
                <w:szCs w:val="21"/>
              </w:rPr>
            </w:pPr>
            <w:r>
              <w:rPr>
                <w:color w:val="000000"/>
                <w:szCs w:val="21"/>
              </w:rPr>
              <w:t>学位课</w:t>
            </w:r>
          </w:p>
        </w:tc>
        <w:tc>
          <w:tcPr>
            <w:tcW w:w="3600" w:type="dxa"/>
            <w:vAlign w:val="center"/>
          </w:tcPr>
          <w:p>
            <w:pPr>
              <w:spacing w:line="400" w:lineRule="exact"/>
              <w:jc w:val="center"/>
              <w:rPr>
                <w:color w:val="000000"/>
                <w:szCs w:val="21"/>
              </w:rPr>
            </w:pPr>
            <w:r>
              <w:rPr>
                <w:rFonts w:hint="eastAsia"/>
                <w:color w:val="000000"/>
                <w:szCs w:val="21"/>
              </w:rPr>
              <w:t>新时代</w:t>
            </w:r>
            <w:r>
              <w:rPr>
                <w:color w:val="000000"/>
                <w:szCs w:val="21"/>
              </w:rPr>
              <w:t>中国特色社会主义理论与实践</w:t>
            </w:r>
          </w:p>
        </w:tc>
        <w:tc>
          <w:tcPr>
            <w:tcW w:w="780" w:type="dxa"/>
            <w:vAlign w:val="center"/>
          </w:tcPr>
          <w:p>
            <w:pPr>
              <w:spacing w:line="400" w:lineRule="exact"/>
              <w:jc w:val="center"/>
              <w:rPr>
                <w:color w:val="000000"/>
                <w:szCs w:val="21"/>
              </w:rPr>
            </w:pPr>
            <w:r>
              <w:rPr>
                <w:color w:val="000000"/>
                <w:szCs w:val="21"/>
              </w:rPr>
              <w:t>2</w:t>
            </w:r>
          </w:p>
        </w:tc>
        <w:tc>
          <w:tcPr>
            <w:tcW w:w="1245" w:type="dxa"/>
            <w:vAlign w:val="center"/>
          </w:tcPr>
          <w:p>
            <w:pPr>
              <w:spacing w:line="400" w:lineRule="exact"/>
              <w:jc w:val="center"/>
              <w:rPr>
                <w:color w:val="000000"/>
                <w:szCs w:val="21"/>
              </w:rPr>
            </w:pPr>
            <w:r>
              <w:rPr>
                <w:color w:val="000000"/>
                <w:szCs w:val="21"/>
              </w:rPr>
              <w:t>第一学期</w:t>
            </w:r>
          </w:p>
        </w:tc>
        <w:tc>
          <w:tcPr>
            <w:tcW w:w="1637" w:type="dxa"/>
            <w:vAlign w:val="center"/>
          </w:tcPr>
          <w:p>
            <w:pPr>
              <w:spacing w:line="400" w:lineRule="exact"/>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458" w:type="dxa"/>
            <w:vMerge w:val="continue"/>
            <w:vAlign w:val="center"/>
          </w:tcPr>
          <w:p>
            <w:pPr>
              <w:jc w:val="center"/>
              <w:rPr>
                <w:color w:val="000000"/>
                <w:szCs w:val="21"/>
              </w:rPr>
            </w:pPr>
          </w:p>
        </w:tc>
        <w:tc>
          <w:tcPr>
            <w:tcW w:w="3600" w:type="dxa"/>
            <w:vAlign w:val="center"/>
          </w:tcPr>
          <w:p>
            <w:pPr>
              <w:spacing w:line="400" w:lineRule="exact"/>
              <w:jc w:val="center"/>
              <w:rPr>
                <w:color w:val="000000"/>
                <w:szCs w:val="21"/>
              </w:rPr>
            </w:pPr>
            <w:r>
              <w:rPr>
                <w:color w:val="000000"/>
                <w:szCs w:val="21"/>
              </w:rPr>
              <w:t>自然辩证法概论</w:t>
            </w:r>
          </w:p>
        </w:tc>
        <w:tc>
          <w:tcPr>
            <w:tcW w:w="780" w:type="dxa"/>
            <w:vAlign w:val="center"/>
          </w:tcPr>
          <w:p>
            <w:pPr>
              <w:spacing w:line="400" w:lineRule="exact"/>
              <w:jc w:val="center"/>
              <w:rPr>
                <w:color w:val="000000"/>
                <w:szCs w:val="21"/>
              </w:rPr>
            </w:pPr>
            <w:r>
              <w:rPr>
                <w:color w:val="000000"/>
                <w:szCs w:val="21"/>
              </w:rPr>
              <w:t>1</w:t>
            </w:r>
          </w:p>
        </w:tc>
        <w:tc>
          <w:tcPr>
            <w:tcW w:w="1245" w:type="dxa"/>
            <w:vMerge w:val="restart"/>
            <w:vAlign w:val="center"/>
          </w:tcPr>
          <w:p>
            <w:pPr>
              <w:spacing w:line="400" w:lineRule="exact"/>
              <w:jc w:val="center"/>
              <w:rPr>
                <w:color w:val="000000"/>
                <w:szCs w:val="21"/>
              </w:rPr>
            </w:pPr>
            <w:r>
              <w:rPr>
                <w:color w:val="000000"/>
                <w:szCs w:val="21"/>
              </w:rPr>
              <w:t>第二学期</w:t>
            </w:r>
          </w:p>
        </w:tc>
        <w:tc>
          <w:tcPr>
            <w:tcW w:w="1637" w:type="dxa"/>
            <w:vAlign w:val="center"/>
          </w:tcPr>
          <w:p>
            <w:pPr>
              <w:spacing w:line="400" w:lineRule="exact"/>
              <w:jc w:val="center"/>
              <w:rPr>
                <w:color w:val="000000"/>
                <w:szCs w:val="21"/>
              </w:rPr>
            </w:pPr>
            <w:r>
              <w:rPr>
                <w:color w:val="000000"/>
                <w:szCs w:val="21"/>
              </w:rPr>
              <w:t>理工科类必修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spacing w:line="400" w:lineRule="exact"/>
              <w:jc w:val="center"/>
              <w:rPr>
                <w:color w:val="000000"/>
                <w:szCs w:val="21"/>
              </w:rPr>
            </w:pPr>
            <w:r>
              <w:rPr>
                <w:color w:val="000000"/>
                <w:szCs w:val="21"/>
              </w:rPr>
              <w:t>马克思主义与社会科学方法论</w:t>
            </w:r>
          </w:p>
        </w:tc>
        <w:tc>
          <w:tcPr>
            <w:tcW w:w="780" w:type="dxa"/>
            <w:vAlign w:val="center"/>
          </w:tcPr>
          <w:p>
            <w:pPr>
              <w:spacing w:line="400" w:lineRule="exact"/>
              <w:jc w:val="center"/>
              <w:rPr>
                <w:color w:val="000000"/>
                <w:szCs w:val="21"/>
              </w:rPr>
            </w:pPr>
            <w:r>
              <w:rPr>
                <w:color w:val="000000"/>
                <w:szCs w:val="21"/>
              </w:rPr>
              <w:t>1</w:t>
            </w:r>
          </w:p>
        </w:tc>
        <w:tc>
          <w:tcPr>
            <w:tcW w:w="1245" w:type="dxa"/>
            <w:vMerge w:val="continue"/>
            <w:vAlign w:val="center"/>
          </w:tcPr>
          <w:p>
            <w:pPr>
              <w:spacing w:line="400" w:lineRule="exact"/>
              <w:jc w:val="center"/>
              <w:rPr>
                <w:color w:val="000000"/>
                <w:szCs w:val="21"/>
              </w:rPr>
            </w:pPr>
          </w:p>
        </w:tc>
        <w:tc>
          <w:tcPr>
            <w:tcW w:w="1637" w:type="dxa"/>
            <w:vAlign w:val="center"/>
          </w:tcPr>
          <w:p>
            <w:pPr>
              <w:spacing w:line="400" w:lineRule="exact"/>
              <w:jc w:val="center"/>
              <w:rPr>
                <w:color w:val="000000"/>
                <w:szCs w:val="21"/>
              </w:rPr>
            </w:pPr>
            <w:r>
              <w:rPr>
                <w:color w:val="000000"/>
                <w:szCs w:val="21"/>
              </w:rPr>
              <w:t>大文科类必修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学术交流英语</w:t>
            </w:r>
          </w:p>
        </w:tc>
        <w:tc>
          <w:tcPr>
            <w:tcW w:w="780" w:type="dxa"/>
            <w:vAlign w:val="center"/>
          </w:tcPr>
          <w:p>
            <w:pPr>
              <w:jc w:val="center"/>
              <w:rPr>
                <w:color w:val="000000"/>
                <w:szCs w:val="21"/>
              </w:rPr>
            </w:pPr>
            <w:r>
              <w:rPr>
                <w:rFonts w:hint="eastAsia"/>
                <w:color w:val="000000"/>
                <w:szCs w:val="21"/>
              </w:rPr>
              <w:t>2</w:t>
            </w:r>
          </w:p>
        </w:tc>
        <w:tc>
          <w:tcPr>
            <w:tcW w:w="1245" w:type="dxa"/>
            <w:vAlign w:val="center"/>
          </w:tcPr>
          <w:p>
            <w:pPr>
              <w:jc w:val="center"/>
              <w:rPr>
                <w:color w:val="000000"/>
                <w:szCs w:val="21"/>
              </w:rPr>
            </w:pPr>
            <w:r>
              <w:rPr>
                <w:color w:val="000000"/>
                <w:szCs w:val="21"/>
              </w:rPr>
              <w:t>第一学期</w:t>
            </w:r>
          </w:p>
        </w:tc>
        <w:tc>
          <w:tcPr>
            <w:tcW w:w="1637" w:type="dxa"/>
            <w:vAlign w:val="center"/>
          </w:tcPr>
          <w:p>
            <w:pPr>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restart"/>
            <w:vAlign w:val="center"/>
          </w:tcPr>
          <w:p>
            <w:pPr>
              <w:jc w:val="center"/>
              <w:rPr>
                <w:color w:val="000000"/>
                <w:szCs w:val="21"/>
              </w:rPr>
            </w:pPr>
            <w:r>
              <w:rPr>
                <w:rFonts w:hint="eastAsia"/>
                <w:color w:val="000000"/>
                <w:szCs w:val="21"/>
              </w:rPr>
              <w:t>专业</w:t>
            </w:r>
            <w:r>
              <w:rPr>
                <w:color w:val="000000"/>
                <w:szCs w:val="21"/>
              </w:rPr>
              <w:t>学</w:t>
            </w:r>
            <w:r>
              <w:rPr>
                <w:rFonts w:hint="eastAsia"/>
                <w:color w:val="000000"/>
                <w:szCs w:val="21"/>
              </w:rPr>
              <w:t>位课</w:t>
            </w:r>
          </w:p>
          <w:p>
            <w:pPr>
              <w:jc w:val="center"/>
              <w:rPr>
                <w:color w:val="000000"/>
                <w:szCs w:val="21"/>
              </w:rPr>
            </w:pPr>
          </w:p>
        </w:tc>
        <w:tc>
          <w:tcPr>
            <w:tcW w:w="3600" w:type="dxa"/>
            <w:vAlign w:val="center"/>
          </w:tcPr>
          <w:p>
            <w:pPr>
              <w:jc w:val="left"/>
              <w:rPr>
                <w:color w:val="000000"/>
                <w:szCs w:val="21"/>
              </w:rPr>
            </w:pPr>
            <w:r>
              <w:rPr>
                <w:color w:val="000000"/>
                <w:szCs w:val="21"/>
              </w:rPr>
              <w:t>论文写作与学术规范</w:t>
            </w:r>
          </w:p>
        </w:tc>
        <w:tc>
          <w:tcPr>
            <w:tcW w:w="780" w:type="dxa"/>
            <w:vAlign w:val="center"/>
          </w:tcPr>
          <w:p>
            <w:pPr>
              <w:jc w:val="center"/>
              <w:rPr>
                <w:color w:val="000000"/>
                <w:szCs w:val="21"/>
              </w:rPr>
            </w:pPr>
            <w:r>
              <w:rPr>
                <w:rFonts w:hint="eastAsia"/>
                <w:color w:val="000000"/>
                <w:szCs w:val="21"/>
              </w:rPr>
              <w:t>1</w:t>
            </w:r>
          </w:p>
        </w:tc>
        <w:tc>
          <w:tcPr>
            <w:tcW w:w="1245" w:type="dxa"/>
            <w:vAlign w:val="center"/>
          </w:tcPr>
          <w:p>
            <w:pPr>
              <w:jc w:val="center"/>
              <w:rPr>
                <w:color w:val="000000"/>
                <w:szCs w:val="21"/>
              </w:rPr>
            </w:pPr>
          </w:p>
        </w:tc>
        <w:tc>
          <w:tcPr>
            <w:tcW w:w="1637" w:type="dxa"/>
            <w:vMerge w:val="restart"/>
            <w:vAlign w:val="center"/>
          </w:tcPr>
          <w:p>
            <w:pPr>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方法类、前沿类和综合类课程</w:t>
            </w:r>
          </w:p>
        </w:tc>
        <w:tc>
          <w:tcPr>
            <w:tcW w:w="780" w:type="dxa"/>
            <w:vAlign w:val="center"/>
          </w:tcPr>
          <w:p>
            <w:pPr>
              <w:jc w:val="center"/>
              <w:rPr>
                <w:color w:val="000000"/>
                <w:szCs w:val="21"/>
              </w:rPr>
            </w:pPr>
          </w:p>
        </w:tc>
        <w:tc>
          <w:tcPr>
            <w:tcW w:w="1245" w:type="dxa"/>
            <w:vAlign w:val="center"/>
          </w:tcPr>
          <w:p>
            <w:pPr>
              <w:jc w:val="center"/>
              <w:rPr>
                <w:color w:val="000000"/>
                <w:szCs w:val="21"/>
              </w:rPr>
            </w:pPr>
          </w:p>
        </w:tc>
        <w:tc>
          <w:tcPr>
            <w:tcW w:w="1637" w:type="dxa"/>
            <w:vMerge w:val="continue"/>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专业核心课</w:t>
            </w:r>
          </w:p>
        </w:tc>
        <w:tc>
          <w:tcPr>
            <w:tcW w:w="780" w:type="dxa"/>
            <w:vAlign w:val="center"/>
          </w:tcPr>
          <w:p>
            <w:pPr>
              <w:jc w:val="center"/>
              <w:rPr>
                <w:color w:val="000000"/>
                <w:szCs w:val="21"/>
              </w:rPr>
            </w:pPr>
          </w:p>
        </w:tc>
        <w:tc>
          <w:tcPr>
            <w:tcW w:w="1245" w:type="dxa"/>
            <w:vAlign w:val="center"/>
          </w:tcPr>
          <w:p>
            <w:pPr>
              <w:jc w:val="center"/>
              <w:rPr>
                <w:color w:val="000000"/>
                <w:szCs w:val="21"/>
              </w:rPr>
            </w:pPr>
          </w:p>
        </w:tc>
        <w:tc>
          <w:tcPr>
            <w:tcW w:w="1637" w:type="dxa"/>
            <w:vAlign w:val="center"/>
          </w:tcPr>
          <w:p>
            <w:pPr>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Align w:val="center"/>
          </w:tcPr>
          <w:p>
            <w:pPr>
              <w:jc w:val="center"/>
              <w:rPr>
                <w:color w:val="000000"/>
                <w:szCs w:val="21"/>
              </w:rPr>
            </w:pPr>
            <w:r>
              <w:rPr>
                <w:rFonts w:hint="eastAsia"/>
                <w:color w:val="000000"/>
                <w:szCs w:val="21"/>
              </w:rPr>
              <w:t>专业选修课</w:t>
            </w:r>
          </w:p>
        </w:tc>
        <w:tc>
          <w:tcPr>
            <w:tcW w:w="3600" w:type="dxa"/>
            <w:vAlign w:val="center"/>
          </w:tcPr>
          <w:p>
            <w:pPr>
              <w:jc w:val="center"/>
              <w:rPr>
                <w:color w:val="000000"/>
                <w:szCs w:val="21"/>
              </w:rPr>
            </w:pPr>
            <w:r>
              <w:rPr>
                <w:rFonts w:hint="eastAsia"/>
                <w:color w:val="000000"/>
                <w:szCs w:val="21"/>
              </w:rPr>
              <w:t>专业方向与领域课</w:t>
            </w:r>
          </w:p>
        </w:tc>
        <w:tc>
          <w:tcPr>
            <w:tcW w:w="780" w:type="dxa"/>
            <w:vAlign w:val="center"/>
          </w:tcPr>
          <w:p>
            <w:pPr>
              <w:jc w:val="center"/>
              <w:rPr>
                <w:color w:val="000000"/>
                <w:szCs w:val="21"/>
              </w:rPr>
            </w:pPr>
          </w:p>
        </w:tc>
        <w:tc>
          <w:tcPr>
            <w:tcW w:w="1245" w:type="dxa"/>
            <w:vAlign w:val="center"/>
          </w:tcPr>
          <w:p>
            <w:pPr>
              <w:jc w:val="center"/>
              <w:rPr>
                <w:color w:val="000000"/>
                <w:szCs w:val="21"/>
              </w:rPr>
            </w:pPr>
          </w:p>
        </w:tc>
        <w:tc>
          <w:tcPr>
            <w:tcW w:w="1637" w:type="dxa"/>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Align w:val="center"/>
          </w:tcPr>
          <w:p>
            <w:pPr>
              <w:jc w:val="center"/>
              <w:rPr>
                <w:color w:val="000000"/>
                <w:szCs w:val="21"/>
              </w:rPr>
            </w:pPr>
            <w:r>
              <w:rPr>
                <w:rFonts w:hint="eastAsia"/>
                <w:color w:val="000000"/>
                <w:szCs w:val="21"/>
              </w:rPr>
              <w:t>素质选修课</w:t>
            </w:r>
          </w:p>
        </w:tc>
        <w:tc>
          <w:tcPr>
            <w:tcW w:w="3600" w:type="dxa"/>
            <w:vAlign w:val="center"/>
          </w:tcPr>
          <w:p>
            <w:pPr>
              <w:jc w:val="center"/>
              <w:rPr>
                <w:color w:val="000000"/>
                <w:szCs w:val="21"/>
              </w:rPr>
            </w:pPr>
            <w:r>
              <w:rPr>
                <w:rFonts w:hint="eastAsia" w:ascii="仿宋" w:hAnsi="仿宋" w:cs="宋体"/>
                <w:szCs w:val="21"/>
              </w:rPr>
              <w:t>数智技术前沿类、“双碳”与绿色发展类、人文素养类、创新创业类</w:t>
            </w:r>
          </w:p>
        </w:tc>
        <w:tc>
          <w:tcPr>
            <w:tcW w:w="780" w:type="dxa"/>
            <w:vAlign w:val="center"/>
          </w:tcPr>
          <w:p>
            <w:pPr>
              <w:jc w:val="center"/>
              <w:rPr>
                <w:color w:val="000000"/>
                <w:szCs w:val="21"/>
              </w:rPr>
            </w:pPr>
            <w:r>
              <w:rPr>
                <w:rFonts w:hint="eastAsia"/>
                <w:color w:val="000000"/>
                <w:szCs w:val="21"/>
              </w:rPr>
              <w:t>2</w:t>
            </w:r>
          </w:p>
        </w:tc>
        <w:tc>
          <w:tcPr>
            <w:tcW w:w="1245" w:type="dxa"/>
            <w:vAlign w:val="center"/>
          </w:tcPr>
          <w:p>
            <w:pPr>
              <w:jc w:val="center"/>
              <w:rPr>
                <w:color w:val="000000"/>
                <w:szCs w:val="21"/>
              </w:rPr>
            </w:pPr>
          </w:p>
        </w:tc>
        <w:tc>
          <w:tcPr>
            <w:tcW w:w="1637" w:type="dxa"/>
            <w:vAlign w:val="center"/>
          </w:tcPr>
          <w:p>
            <w:pPr>
              <w:jc w:val="center"/>
              <w:rPr>
                <w:color w:val="000000"/>
                <w:szCs w:val="21"/>
              </w:rPr>
            </w:pPr>
            <w:r>
              <w:rPr>
                <w:color w:val="000000"/>
                <w:szCs w:val="21"/>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restart"/>
            <w:vAlign w:val="center"/>
          </w:tcPr>
          <w:p>
            <w:pPr>
              <w:jc w:val="center"/>
              <w:rPr>
                <w:color w:val="000000"/>
                <w:szCs w:val="21"/>
              </w:rPr>
            </w:pPr>
            <w:r>
              <w:rPr>
                <w:color w:val="000000"/>
                <w:szCs w:val="21"/>
              </w:rPr>
              <w:t>培养</w:t>
            </w:r>
          </w:p>
          <w:p>
            <w:pPr>
              <w:jc w:val="center"/>
              <w:rPr>
                <w:color w:val="000000"/>
                <w:szCs w:val="21"/>
              </w:rPr>
            </w:pPr>
            <w:r>
              <w:rPr>
                <w:color w:val="000000"/>
                <w:szCs w:val="21"/>
              </w:rPr>
              <w:t>环节</w:t>
            </w:r>
          </w:p>
        </w:tc>
        <w:tc>
          <w:tcPr>
            <w:tcW w:w="3600" w:type="dxa"/>
            <w:vAlign w:val="center"/>
          </w:tcPr>
          <w:p>
            <w:pPr>
              <w:jc w:val="center"/>
              <w:rPr>
                <w:color w:val="000000"/>
                <w:szCs w:val="21"/>
              </w:rPr>
            </w:pPr>
            <w:r>
              <w:rPr>
                <w:color w:val="000000"/>
                <w:szCs w:val="21"/>
              </w:rPr>
              <w:t>学术研讨</w:t>
            </w:r>
            <w:r>
              <w:rPr>
                <w:rFonts w:hint="eastAsia"/>
                <w:color w:val="000000"/>
                <w:szCs w:val="21"/>
              </w:rPr>
              <w:t>与交流</w:t>
            </w:r>
          </w:p>
        </w:tc>
        <w:tc>
          <w:tcPr>
            <w:tcW w:w="780" w:type="dxa"/>
            <w:vAlign w:val="center"/>
          </w:tcPr>
          <w:p>
            <w:pPr>
              <w:jc w:val="center"/>
              <w:rPr>
                <w:color w:val="000000"/>
                <w:szCs w:val="21"/>
              </w:rPr>
            </w:pPr>
            <w:r>
              <w:rPr>
                <w:color w:val="000000"/>
                <w:szCs w:val="21"/>
              </w:rPr>
              <w:t>1</w:t>
            </w:r>
          </w:p>
        </w:tc>
        <w:tc>
          <w:tcPr>
            <w:tcW w:w="1245" w:type="dxa"/>
            <w:vMerge w:val="restart"/>
            <w:vAlign w:val="center"/>
          </w:tcPr>
          <w:p>
            <w:pPr>
              <w:jc w:val="center"/>
              <w:rPr>
                <w:color w:val="000000"/>
                <w:szCs w:val="21"/>
              </w:rPr>
            </w:pPr>
          </w:p>
        </w:tc>
        <w:tc>
          <w:tcPr>
            <w:tcW w:w="1637" w:type="dxa"/>
            <w:vMerge w:val="restart"/>
            <w:vAlign w:val="center"/>
          </w:tcPr>
          <w:p>
            <w:pPr>
              <w:jc w:val="center"/>
              <w:rPr>
                <w:color w:val="000000"/>
                <w:szCs w:val="21"/>
              </w:rPr>
            </w:pPr>
            <w:r>
              <w:rPr>
                <w:color w:val="000000"/>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color w:val="000000"/>
                <w:szCs w:val="21"/>
              </w:rPr>
              <w:t>社会实践</w:t>
            </w:r>
          </w:p>
        </w:tc>
        <w:tc>
          <w:tcPr>
            <w:tcW w:w="780" w:type="dxa"/>
            <w:vAlign w:val="center"/>
          </w:tcPr>
          <w:p>
            <w:pPr>
              <w:jc w:val="center"/>
              <w:rPr>
                <w:color w:val="000000"/>
                <w:szCs w:val="21"/>
              </w:rPr>
            </w:pPr>
            <w:r>
              <w:rPr>
                <w:rFonts w:hint="eastAsia"/>
                <w:color w:val="000000"/>
                <w:szCs w:val="21"/>
              </w:rPr>
              <w:t>1</w:t>
            </w:r>
          </w:p>
        </w:tc>
        <w:tc>
          <w:tcPr>
            <w:tcW w:w="1245" w:type="dxa"/>
            <w:vMerge w:val="continue"/>
            <w:vAlign w:val="center"/>
          </w:tcPr>
          <w:p>
            <w:pPr>
              <w:jc w:val="center"/>
              <w:rPr>
                <w:color w:val="000000"/>
                <w:szCs w:val="21"/>
              </w:rPr>
            </w:pPr>
          </w:p>
        </w:tc>
        <w:tc>
          <w:tcPr>
            <w:tcW w:w="1637" w:type="dxa"/>
            <w:vMerge w:val="continue"/>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8" w:type="dxa"/>
            <w:vMerge w:val="continue"/>
            <w:vAlign w:val="center"/>
          </w:tcPr>
          <w:p>
            <w:pPr>
              <w:jc w:val="center"/>
              <w:rPr>
                <w:color w:val="000000"/>
                <w:szCs w:val="21"/>
              </w:rPr>
            </w:pPr>
          </w:p>
        </w:tc>
        <w:tc>
          <w:tcPr>
            <w:tcW w:w="3600" w:type="dxa"/>
            <w:vAlign w:val="center"/>
          </w:tcPr>
          <w:p>
            <w:pPr>
              <w:jc w:val="center"/>
              <w:rPr>
                <w:color w:val="000000"/>
                <w:szCs w:val="21"/>
              </w:rPr>
            </w:pPr>
            <w:r>
              <w:rPr>
                <w:rFonts w:hint="eastAsia"/>
                <w:color w:val="000000"/>
                <w:szCs w:val="21"/>
              </w:rPr>
              <w:t>专业实习</w:t>
            </w:r>
          </w:p>
        </w:tc>
        <w:tc>
          <w:tcPr>
            <w:tcW w:w="780" w:type="dxa"/>
            <w:vAlign w:val="center"/>
          </w:tcPr>
          <w:p>
            <w:pPr>
              <w:jc w:val="center"/>
              <w:rPr>
                <w:color w:val="000000"/>
                <w:szCs w:val="21"/>
              </w:rPr>
            </w:pPr>
            <w:r>
              <w:rPr>
                <w:rFonts w:hint="eastAsia"/>
                <w:color w:val="000000"/>
                <w:szCs w:val="21"/>
              </w:rPr>
              <w:t>4</w:t>
            </w:r>
          </w:p>
        </w:tc>
        <w:tc>
          <w:tcPr>
            <w:tcW w:w="1245" w:type="dxa"/>
            <w:vMerge w:val="continue"/>
            <w:vAlign w:val="center"/>
          </w:tcPr>
          <w:p>
            <w:pPr>
              <w:jc w:val="center"/>
              <w:rPr>
                <w:color w:val="000000"/>
                <w:szCs w:val="21"/>
              </w:rPr>
            </w:pPr>
          </w:p>
        </w:tc>
        <w:tc>
          <w:tcPr>
            <w:tcW w:w="1637" w:type="dxa"/>
            <w:vMerge w:val="continue"/>
            <w:vAlign w:val="center"/>
          </w:tcPr>
          <w:p>
            <w:pPr>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458" w:type="dxa"/>
            <w:vAlign w:val="center"/>
          </w:tcPr>
          <w:p>
            <w:pPr>
              <w:jc w:val="center"/>
              <w:rPr>
                <w:color w:val="000000"/>
                <w:szCs w:val="21"/>
              </w:rPr>
            </w:pPr>
            <w:r>
              <w:rPr>
                <w:color w:val="000000"/>
                <w:szCs w:val="21"/>
              </w:rPr>
              <w:t>补修课</w:t>
            </w:r>
          </w:p>
        </w:tc>
        <w:tc>
          <w:tcPr>
            <w:tcW w:w="3600" w:type="dxa"/>
            <w:vAlign w:val="center"/>
          </w:tcPr>
          <w:p>
            <w:pPr>
              <w:jc w:val="center"/>
              <w:rPr>
                <w:color w:val="000000"/>
                <w:szCs w:val="21"/>
              </w:rPr>
            </w:pPr>
            <w:r>
              <w:rPr>
                <w:color w:val="000000"/>
                <w:szCs w:val="21"/>
              </w:rPr>
              <w:t>本专业本科阶段核心课程</w:t>
            </w:r>
          </w:p>
        </w:tc>
        <w:tc>
          <w:tcPr>
            <w:tcW w:w="780" w:type="dxa"/>
            <w:vAlign w:val="center"/>
          </w:tcPr>
          <w:p>
            <w:pPr>
              <w:jc w:val="center"/>
              <w:rPr>
                <w:color w:val="000000"/>
                <w:szCs w:val="21"/>
              </w:rPr>
            </w:pPr>
            <w:r>
              <w:rPr>
                <w:color w:val="000000"/>
                <w:szCs w:val="21"/>
              </w:rPr>
              <w:t>-</w:t>
            </w:r>
          </w:p>
        </w:tc>
        <w:tc>
          <w:tcPr>
            <w:tcW w:w="1245" w:type="dxa"/>
            <w:vAlign w:val="center"/>
          </w:tcPr>
          <w:p>
            <w:pPr>
              <w:jc w:val="center"/>
              <w:rPr>
                <w:color w:val="000000"/>
                <w:szCs w:val="21"/>
              </w:rPr>
            </w:pPr>
          </w:p>
        </w:tc>
        <w:tc>
          <w:tcPr>
            <w:tcW w:w="1637" w:type="dxa"/>
            <w:vAlign w:val="center"/>
          </w:tcPr>
          <w:p>
            <w:pPr>
              <w:jc w:val="center"/>
              <w:rPr>
                <w:color w:val="000000"/>
                <w:szCs w:val="21"/>
              </w:rPr>
            </w:pPr>
            <w:r>
              <w:rPr>
                <w:color w:val="000000"/>
                <w:szCs w:val="21"/>
              </w:rPr>
              <w:t>必修</w:t>
            </w:r>
          </w:p>
        </w:tc>
      </w:tr>
    </w:tbl>
    <w:p>
      <w:pPr>
        <w:spacing w:line="500" w:lineRule="exact"/>
        <w:jc w:val="center"/>
        <w:rPr>
          <w:color w:val="000000"/>
          <w:szCs w:val="21"/>
        </w:rPr>
      </w:pPr>
    </w:p>
    <w:p>
      <w:pPr>
        <w:spacing w:line="500" w:lineRule="exact"/>
        <w:ind w:firstLine="560" w:firstLineChars="200"/>
        <w:rPr>
          <w:rFonts w:ascii="仿宋_gb2312" w:eastAsia="仿宋_gb2312"/>
          <w:color w:val="FF0000"/>
          <w:sz w:val="28"/>
          <w:szCs w:val="28"/>
        </w:rPr>
      </w:pPr>
      <w:r>
        <w:rPr>
          <w:rFonts w:hint="eastAsia" w:ascii="仿宋_gb2312" w:hAnsi="宋体" w:eastAsia="仿宋_gb2312" w:cs="宋体"/>
          <w:color w:val="000000"/>
          <w:sz w:val="28"/>
          <w:szCs w:val="28"/>
        </w:rPr>
        <w:t>注：公共学位课为研究生的必修课程，所有研究生必修“新时代中国特色社会主义理论与实践”，大文科类研究生必选“马克思主义与社会科学方法论”修读；理工类研究生必选“自然辩证法概论”修读；学术交流英语主要训练研究生的“听”“说”能力</w:t>
      </w:r>
      <w:r>
        <w:rPr>
          <w:rFonts w:hint="eastAsia" w:ascii="仿宋_gb2312" w:eastAsia="仿宋_gb2312"/>
          <w:color w:val="000000"/>
          <w:sz w:val="28"/>
          <w:szCs w:val="28"/>
        </w:rPr>
        <w:t>。</w:t>
      </w:r>
      <w:r>
        <w:rPr>
          <w:rFonts w:hint="eastAsia" w:ascii="仿宋_gb2312" w:eastAsia="仿宋_gb2312"/>
          <w:color w:val="FF0000"/>
          <w:sz w:val="28"/>
          <w:szCs w:val="28"/>
        </w:rPr>
        <w:t>1</w:t>
      </w:r>
      <w:r>
        <w:rPr>
          <w:rFonts w:ascii="仿宋_gb2312" w:eastAsia="仿宋_gb2312"/>
          <w:color w:val="FF0000"/>
          <w:sz w:val="28"/>
          <w:szCs w:val="28"/>
        </w:rPr>
        <w:t>6</w:t>
      </w:r>
      <w:r>
        <w:rPr>
          <w:rFonts w:hint="eastAsia" w:ascii="仿宋_gb2312" w:eastAsia="仿宋_gb2312"/>
          <w:color w:val="FF0000"/>
          <w:sz w:val="28"/>
          <w:szCs w:val="28"/>
        </w:rPr>
        <w:t>课时对应</w:t>
      </w:r>
      <w:r>
        <w:rPr>
          <w:rFonts w:ascii="仿宋_gb2312" w:eastAsia="仿宋_gb2312"/>
          <w:color w:val="FF0000"/>
          <w:sz w:val="28"/>
          <w:szCs w:val="28"/>
        </w:rPr>
        <w:t>1</w:t>
      </w:r>
      <w:r>
        <w:rPr>
          <w:rFonts w:hint="eastAsia" w:ascii="仿宋_gb2312" w:eastAsia="仿宋_gb2312"/>
          <w:color w:val="FF0000"/>
          <w:sz w:val="28"/>
          <w:szCs w:val="28"/>
        </w:rPr>
        <w:t>个学分。</w:t>
      </w:r>
    </w:p>
    <w:p>
      <w:p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2. 课程设置要求</w:t>
      </w:r>
    </w:p>
    <w:p>
      <w:pPr>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（1）专业学位课设置应体现本专业学位点基础理论和专业理论，重点参考《专业学位研究生核心课程指南》和该专业教指委专业指导性意见中所列课程。</w:t>
      </w:r>
    </w:p>
    <w:p>
      <w:pPr>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选修课是为研究生进一步拓宽专业基础理论、扩大知识面、突出职业向导，深入研究某一特定专业领域及相应能力的培养而设置的课程。专业类选修课可参考《专业学位研究生核心课程指南》和该专业教指委专业指导性意见中所列课程设置。素质选修课程应修总学分为2学分。</w:t>
      </w:r>
    </w:p>
    <w:p>
      <w:pPr>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w:t>
      </w:r>
      <w:r>
        <w:rPr>
          <w:rFonts w:hint="eastAsia" w:ascii="仿宋_gb2312" w:hAnsi="宋体" w:eastAsia="仿宋_gb2312"/>
          <w:color w:val="000000"/>
          <w:sz w:val="32"/>
          <w:szCs w:val="32"/>
        </w:rPr>
        <w:t>补修课。</w:t>
      </w:r>
      <w:r>
        <w:rPr>
          <w:rFonts w:hint="eastAsia" w:ascii="仿宋_gb2312" w:eastAsia="仿宋_gb2312"/>
          <w:color w:val="000000"/>
          <w:sz w:val="32"/>
          <w:szCs w:val="32"/>
        </w:rPr>
        <w:t>跨专业考入或以同等学力考入的硕士研究生，必须补修该专业本科阶段核心课程，一般不得少于2门。补修课不记学分，但要有科目和成绩要求。凡有补修课程未修完或补修成绩不合格者，不能参加学位论文答辩。</w:t>
      </w:r>
    </w:p>
    <w:p>
      <w:pPr>
        <w:spacing w:line="580" w:lineRule="exact"/>
        <w:ind w:firstLine="643" w:firstLineChars="200"/>
        <w:rPr>
          <w:rFonts w:ascii="仿宋_gb2312" w:hAnsi="宋体" w:eastAsia="仿宋_gb2312"/>
          <w:b/>
          <w:color w:val="000000"/>
          <w:sz w:val="32"/>
          <w:szCs w:val="32"/>
        </w:rPr>
      </w:pPr>
      <w:r>
        <w:rPr>
          <w:rFonts w:hint="eastAsia" w:ascii="仿宋_gb2312" w:hAnsi="宋体" w:eastAsia="仿宋_gb2312"/>
          <w:b/>
          <w:color w:val="000000"/>
          <w:sz w:val="32"/>
          <w:szCs w:val="32"/>
        </w:rPr>
        <w:t>（三）免修免考</w:t>
      </w:r>
    </w:p>
    <w:p>
      <w:pPr>
        <w:spacing w:line="580" w:lineRule="exact"/>
        <w:ind w:firstLine="643" w:firstLineChars="200"/>
        <w:rPr>
          <w:rFonts w:ascii="仿宋_gb2312" w:hAnsi="宋体" w:eastAsia="仿宋_gb2312"/>
          <w:b/>
          <w:color w:val="000000"/>
          <w:sz w:val="32"/>
          <w:szCs w:val="32"/>
        </w:rPr>
      </w:pPr>
      <w:r>
        <w:rPr>
          <w:rFonts w:hint="eastAsia" w:ascii="仿宋_gb2312" w:hAnsi="宋体" w:eastAsia="仿宋_gb2312"/>
          <w:b/>
          <w:color w:val="000000"/>
          <w:sz w:val="32"/>
          <w:szCs w:val="32"/>
        </w:rPr>
        <w:t>1.免修条件</w:t>
      </w:r>
    </w:p>
    <w:p>
      <w:pPr>
        <w:spacing w:line="58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硕士研究生英语水平达到《湖南工商大学硕士研究生免修公共英语课程管理规定》中规定的免修条件者，可申请免修免考《学术交流英语》。</w:t>
      </w:r>
    </w:p>
    <w:p>
      <w:pPr>
        <w:spacing w:line="580" w:lineRule="exact"/>
        <w:ind w:firstLine="643" w:firstLineChars="200"/>
        <w:rPr>
          <w:rFonts w:ascii="仿宋_gb2312" w:hAnsi="宋体" w:eastAsia="仿宋_gb2312"/>
          <w:b/>
          <w:color w:val="000000"/>
          <w:sz w:val="32"/>
          <w:szCs w:val="32"/>
        </w:rPr>
      </w:pPr>
      <w:r>
        <w:rPr>
          <w:rFonts w:hint="eastAsia" w:ascii="仿宋_gb2312" w:hAnsi="宋体" w:eastAsia="仿宋_gb2312"/>
          <w:b/>
          <w:color w:val="000000"/>
          <w:sz w:val="32"/>
          <w:szCs w:val="32"/>
        </w:rPr>
        <w:t>2.免考申请</w:t>
      </w:r>
    </w:p>
    <w:p>
      <w:pPr>
        <w:spacing w:line="58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对于研究生在国外留学期间所修的专业课程，由本人提供学习成绩证明原件和课程考试有关资料，由所在二级培养单位研究生分管负责人审核并认定对应培养方案内的相应课程，到研究生院培养办登记成绩。</w:t>
      </w:r>
    </w:p>
    <w:p>
      <w:pPr>
        <w:numPr>
          <w:ilvl w:val="0"/>
          <w:numId w:val="1"/>
        </w:numPr>
        <w:spacing w:line="580" w:lineRule="exact"/>
        <w:ind w:left="420"/>
        <w:rPr>
          <w:rFonts w:ascii="仿宋_gb2312" w:eastAsia="仿宋_gb2312"/>
          <w:b/>
          <w:bCs/>
          <w:color w:val="000000"/>
          <w:sz w:val="32"/>
          <w:szCs w:val="32"/>
        </w:rPr>
      </w:pPr>
      <w:r>
        <w:rPr>
          <w:rFonts w:hint="eastAsia" w:ascii="仿宋_gb2312" w:eastAsia="仿宋_gb2312"/>
          <w:b/>
          <w:bCs/>
          <w:color w:val="000000"/>
          <w:sz w:val="32"/>
          <w:szCs w:val="32"/>
        </w:rPr>
        <w:t>培养环节</w:t>
      </w:r>
    </w:p>
    <w:p>
      <w:pPr>
        <w:spacing w:line="580" w:lineRule="exact"/>
        <w:ind w:firstLine="643" w:firstLineChars="200"/>
        <w:rPr>
          <w:rFonts w:ascii="仿宋_gb2312" w:eastAsia="仿宋_gb2312"/>
          <w:b/>
          <w:color w:val="000000"/>
          <w:sz w:val="32"/>
          <w:szCs w:val="32"/>
        </w:rPr>
      </w:pPr>
      <w:r>
        <w:rPr>
          <w:rFonts w:hint="eastAsia" w:ascii="仿宋_gb2312" w:hAnsi="宋体" w:eastAsia="仿宋_gb2312"/>
          <w:b/>
          <w:color w:val="000000"/>
          <w:sz w:val="32"/>
          <w:szCs w:val="32"/>
        </w:rPr>
        <w:t>（一）</w:t>
      </w:r>
      <w:r>
        <w:rPr>
          <w:rFonts w:hint="eastAsia" w:ascii="仿宋_gb2312" w:eastAsia="仿宋_gb2312"/>
          <w:b/>
          <w:color w:val="000000"/>
          <w:sz w:val="32"/>
          <w:szCs w:val="32"/>
        </w:rPr>
        <w:t>培养环节的内容</w:t>
      </w:r>
    </w:p>
    <w:p>
      <w:pPr>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包括学术研讨与交流、学术报告、社会实践、科研训练和专业实习等内容，各培养单位应根据专业自身特点合理安排研究生各培养环节的时间与内容，并将其贯穿于研究生教育的全过程。</w:t>
      </w:r>
    </w:p>
    <w:p>
      <w:p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（二）专业实习</w:t>
      </w:r>
    </w:p>
    <w:p>
      <w:pPr>
        <w:spacing w:line="580" w:lineRule="exact"/>
        <w:ind w:firstLine="640" w:firstLineChars="200"/>
        <w:rPr>
          <w:rFonts w:ascii="仿宋_gb2312" w:hAnsi="宋体" w:eastAsia="仿宋_gb2312" w:cs="宋体"/>
          <w:color w:val="000000"/>
          <w:sz w:val="32"/>
          <w:szCs w:val="32"/>
        </w:rPr>
      </w:pPr>
      <w:r>
        <w:rPr>
          <w:rFonts w:hint="eastAsia" w:ascii="仿宋_gb2312" w:eastAsia="仿宋_gb2312"/>
          <w:color w:val="000000"/>
          <w:sz w:val="32"/>
          <w:szCs w:val="32"/>
        </w:rPr>
        <w:t>培养环节中专业实习是培养专业学位研究生职业素养和应用能力的重要保证，专业实习的具体内容与要求须参照该专业教指委专业指导性意见制定。专业学位研究生在学期间，专业实习时间必须保证不少于半年，可采用集中实习与分段实习相结合的方式。各专业学位研究生培养单位须制订各专业类别（领域）专业实习管理细则及考核办法。</w:t>
      </w:r>
      <w:r>
        <w:rPr>
          <w:rFonts w:hint="eastAsia" w:ascii="仿宋_gb2312" w:eastAsia="仿宋_gb2312"/>
          <w:color w:val="000000"/>
          <w:sz w:val="32"/>
          <w:szCs w:val="32"/>
        </w:rPr>
        <w:br w:type="textWrapping"/>
      </w:r>
      <w:r>
        <w:rPr>
          <w:rFonts w:hint="eastAsia" w:ascii="仿宋_gb2312" w:eastAsia="仿宋_gb2312"/>
          <w:b/>
          <w:color w:val="000000"/>
          <w:sz w:val="32"/>
          <w:szCs w:val="32"/>
        </w:rPr>
        <w:t xml:space="preserve">   （三）培养环节学分认定</w:t>
      </w:r>
    </w:p>
    <w:p>
      <w:pPr>
        <w:spacing w:line="58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硕士研究生必须在学位论文答辩前，修完</w:t>
      </w:r>
      <w:r>
        <w:rPr>
          <w:rFonts w:hint="eastAsia" w:ascii="仿宋_gb2312" w:eastAsia="仿宋_gb2312" w:cs="宋体"/>
          <w:color w:val="000000"/>
          <w:sz w:val="32"/>
          <w:szCs w:val="32"/>
        </w:rPr>
        <w:t>培养</w:t>
      </w:r>
      <w:r>
        <w:rPr>
          <w:rFonts w:hint="eastAsia" w:ascii="仿宋_gb2312" w:hAnsi="宋体" w:eastAsia="仿宋_gb2312" w:cs="宋体"/>
          <w:color w:val="000000"/>
          <w:sz w:val="32"/>
          <w:szCs w:val="32"/>
        </w:rPr>
        <w:t>环节的学分。</w:t>
      </w:r>
      <w:r>
        <w:rPr>
          <w:rFonts w:hint="eastAsia" w:ascii="仿宋_gb2312" w:eastAsia="仿宋_gb2312" w:cs="宋体"/>
          <w:color w:val="000000"/>
          <w:sz w:val="32"/>
          <w:szCs w:val="32"/>
        </w:rPr>
        <w:t>培养环节考核由导师和二级培养单位具体组织实施。</w:t>
      </w:r>
      <w:r>
        <w:rPr>
          <w:rFonts w:hint="eastAsia" w:ascii="仿宋_gb2312" w:eastAsia="仿宋_gb2312" w:cs="宋体"/>
          <w:color w:val="000000"/>
          <w:sz w:val="32"/>
          <w:szCs w:val="32"/>
        </w:rPr>
        <w:br w:type="textWrapping"/>
      </w:r>
      <w:r>
        <w:rPr>
          <w:rFonts w:hint="eastAsia" w:ascii="仿宋_gb2312" w:eastAsia="仿宋_gb2312" w:cs="宋体"/>
          <w:color w:val="000000"/>
          <w:sz w:val="32"/>
          <w:szCs w:val="32"/>
        </w:rPr>
        <w:t xml:space="preserve">    1</w:t>
      </w:r>
      <w:r>
        <w:rPr>
          <w:rFonts w:hint="eastAsia" w:ascii="仿宋_gb2312" w:hAnsi="宋体" w:eastAsia="仿宋_gb2312"/>
          <w:color w:val="000000"/>
          <w:sz w:val="32"/>
          <w:szCs w:val="32"/>
        </w:rPr>
        <w:t>.</w:t>
      </w:r>
      <w:r>
        <w:rPr>
          <w:rFonts w:hint="eastAsia" w:ascii="仿宋_gb2312" w:hAnsi="宋体" w:eastAsia="仿宋_gb2312" w:cs="宋体"/>
          <w:color w:val="000000"/>
          <w:sz w:val="32"/>
          <w:szCs w:val="32"/>
        </w:rPr>
        <w:t>学术研讨与交流。研究生在读期间，须参加学术讲座及本学科领域重要的学术会议，研究生须听</w:t>
      </w:r>
      <w:r>
        <w:rPr>
          <w:rFonts w:hint="eastAsia" w:ascii="仿宋_gb2312" w:hAnsi="宋体" w:eastAsia="仿宋_gb2312" w:cs="宋体"/>
          <w:color w:val="000000"/>
          <w:spacing w:val="-28"/>
          <w:sz w:val="32"/>
          <w:szCs w:val="32"/>
        </w:rPr>
        <w:t xml:space="preserve">取 </w:t>
      </w:r>
      <w:r>
        <w:rPr>
          <w:rFonts w:hint="eastAsia" w:ascii="仿宋_gb2312" w:hAnsi="宋体" w:eastAsia="仿宋_gb2312" w:cs="宋体"/>
          <w:color w:val="000000"/>
          <w:sz w:val="32"/>
          <w:szCs w:val="32"/>
        </w:rPr>
        <w:t>6</w:t>
      </w:r>
      <w:r>
        <w:rPr>
          <w:rFonts w:hint="eastAsia" w:ascii="仿宋_gb2312" w:hAnsi="宋体" w:eastAsia="仿宋_gb2312" w:cs="宋体"/>
          <w:color w:val="000000"/>
          <w:spacing w:val="-5"/>
          <w:sz w:val="32"/>
          <w:szCs w:val="32"/>
        </w:rPr>
        <w:t>场及以上高水平学术讲座，或撰文参加全国性</w:t>
      </w:r>
      <w:r>
        <w:rPr>
          <w:rFonts w:hint="eastAsia" w:ascii="仿宋_gb2312" w:hAnsi="宋体" w:eastAsia="仿宋_gb2312" w:cs="宋体"/>
          <w:color w:val="000000"/>
          <w:spacing w:val="3"/>
          <w:sz w:val="32"/>
          <w:szCs w:val="32"/>
        </w:rPr>
        <w:t>（</w:t>
      </w:r>
      <w:r>
        <w:rPr>
          <w:rFonts w:hint="eastAsia" w:ascii="仿宋_gb2312" w:hAnsi="宋体" w:eastAsia="仿宋_gb2312" w:cs="宋体"/>
          <w:color w:val="000000"/>
          <w:spacing w:val="2"/>
          <w:sz w:val="32"/>
          <w:szCs w:val="32"/>
        </w:rPr>
        <w:t>或国际性</w:t>
      </w:r>
      <w:r>
        <w:rPr>
          <w:rFonts w:hint="eastAsia" w:ascii="仿宋_gb2312" w:hAnsi="宋体" w:eastAsia="仿宋_gb2312" w:cs="宋体"/>
          <w:color w:val="000000"/>
          <w:spacing w:val="3"/>
          <w:sz w:val="32"/>
          <w:szCs w:val="32"/>
        </w:rPr>
        <w:t>）</w:t>
      </w:r>
      <w:r>
        <w:rPr>
          <w:rFonts w:hint="eastAsia" w:ascii="仿宋_gb2312" w:hAnsi="宋体" w:eastAsia="仿宋_gb2312" w:cs="宋体"/>
          <w:color w:val="000000"/>
          <w:spacing w:val="-10"/>
          <w:sz w:val="32"/>
          <w:szCs w:val="32"/>
        </w:rPr>
        <w:t>学术会议</w:t>
      </w:r>
      <w:r>
        <w:rPr>
          <w:rFonts w:hint="eastAsia" w:ascii="仿宋_gb2312" w:hAnsi="宋体" w:eastAsia="仿宋_gb2312" w:cs="宋体"/>
          <w:color w:val="000000"/>
          <w:sz w:val="32"/>
          <w:szCs w:val="32"/>
        </w:rPr>
        <w:t>1</w:t>
      </w:r>
      <w:r>
        <w:rPr>
          <w:rFonts w:hint="eastAsia" w:ascii="仿宋_gb2312" w:hAnsi="宋体" w:eastAsia="仿宋_gb2312" w:cs="宋体"/>
          <w:color w:val="000000"/>
          <w:spacing w:val="-5"/>
          <w:sz w:val="32"/>
          <w:szCs w:val="32"/>
        </w:rPr>
        <w:t>次及以上，或撰文参加</w:t>
      </w:r>
      <w:r>
        <w:rPr>
          <w:rFonts w:hint="eastAsia" w:ascii="仿宋_gb2312" w:hAnsi="宋体" w:eastAsia="仿宋_gb2312" w:cs="宋体"/>
          <w:color w:val="000000"/>
          <w:spacing w:val="-6"/>
          <w:sz w:val="32"/>
          <w:szCs w:val="32"/>
        </w:rPr>
        <w:t>省级学术会议</w:t>
      </w:r>
      <w:r>
        <w:rPr>
          <w:rFonts w:hint="eastAsia" w:ascii="仿宋_gb2312" w:hAnsi="宋体" w:eastAsia="仿宋_gb2312" w:cs="宋体"/>
          <w:color w:val="000000"/>
          <w:sz w:val="32"/>
          <w:szCs w:val="32"/>
        </w:rPr>
        <w:t>3</w:t>
      </w:r>
      <w:r>
        <w:rPr>
          <w:rFonts w:hint="eastAsia" w:ascii="仿宋_gb2312" w:hAnsi="宋体" w:eastAsia="仿宋_gb2312" w:cs="宋体"/>
          <w:color w:val="000000"/>
          <w:spacing w:val="-6"/>
          <w:sz w:val="32"/>
          <w:szCs w:val="32"/>
        </w:rPr>
        <w:t>次及以上。根据研究生参与活动的情况与个人佐证材料进行考核，考核合格者获</w:t>
      </w:r>
      <w:r>
        <w:rPr>
          <w:rFonts w:hint="eastAsia" w:ascii="仿宋_gb2312" w:hAnsi="宋体" w:eastAsia="仿宋_gb2312" w:cs="宋体"/>
          <w:color w:val="000000"/>
          <w:sz w:val="32"/>
          <w:szCs w:val="32"/>
        </w:rPr>
        <w:t>1学分。</w:t>
      </w:r>
    </w:p>
    <w:p>
      <w:pPr>
        <w:spacing w:line="58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2.学术报告。研究生在读期间，需主讲1次及以上具有学术创新的学术报告，或在各类学术研讨活动中做3次及以上主题报告。考核合格者获1学分。</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3.科研训练。文献阅读1学分，</w:t>
      </w:r>
      <w:r>
        <w:rPr>
          <w:rFonts w:hint="eastAsia" w:ascii="仿宋_gb2312" w:eastAsia="仿宋_gb2312" w:cs="宋体"/>
          <w:color w:val="000000"/>
          <w:sz w:val="32"/>
          <w:szCs w:val="32"/>
        </w:rPr>
        <w:t>论文写作训练</w:t>
      </w:r>
      <w:r>
        <w:rPr>
          <w:rFonts w:hint="eastAsia" w:ascii="仿宋_gb2312" w:hAnsi="宋体" w:eastAsia="仿宋_gb2312" w:cs="宋体"/>
          <w:color w:val="000000"/>
          <w:sz w:val="32"/>
          <w:szCs w:val="32"/>
        </w:rPr>
        <w:t>1学分。研究生在学位论文开题报告前，应阅读本学科领域相关文献60篇（本）及以上，撰写12000字及以上的文献综述报告，经导师和二级培养单位审核合格，可得文献阅读1学分；在读期间完成1篇规范的学术论文撰写，或主持（参与）科研项目研究，经导师和二级培养单位审核合格，可得论文写作训练</w:t>
      </w:r>
      <w:r>
        <w:rPr>
          <w:rFonts w:hint="eastAsia" w:ascii="仿宋_gb2312" w:eastAsia="仿宋_gb2312" w:cs="宋体"/>
          <w:color w:val="000000"/>
          <w:sz w:val="32"/>
          <w:szCs w:val="32"/>
        </w:rPr>
        <w:t>1</w:t>
      </w:r>
      <w:r>
        <w:rPr>
          <w:rFonts w:hint="eastAsia" w:ascii="仿宋_gb2312" w:hAnsi="宋体" w:eastAsia="仿宋_gb2312" w:cs="宋体"/>
          <w:color w:val="000000"/>
          <w:sz w:val="32"/>
          <w:szCs w:val="32"/>
        </w:rPr>
        <w:t>学分。</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4.社会实践。研究生的社会实践分为教学实践（含教学助理）、科研实践（含科研助理）、管理实践（含管</w:t>
      </w:r>
      <w:r>
        <w:rPr>
          <w:rFonts w:hint="eastAsia" w:ascii="仿宋_gb2312" w:hAnsi="宋体" w:eastAsia="仿宋_gb2312" w:cs="宋体"/>
          <w:color w:val="000000"/>
          <w:spacing w:val="2"/>
          <w:sz w:val="32"/>
          <w:szCs w:val="32"/>
        </w:rPr>
        <w:t>理助理与助管辅导员</w:t>
      </w:r>
      <w:r>
        <w:rPr>
          <w:rFonts w:hint="eastAsia" w:ascii="仿宋_gb2312" w:hAnsi="宋体" w:eastAsia="仿宋_gb2312" w:cs="宋体"/>
          <w:color w:val="000000"/>
          <w:sz w:val="32"/>
          <w:szCs w:val="32"/>
        </w:rPr>
        <w:t>）</w:t>
      </w:r>
      <w:r>
        <w:rPr>
          <w:rFonts w:hint="eastAsia" w:ascii="仿宋_gb2312" w:hAnsi="宋体" w:eastAsia="仿宋_gb2312" w:cs="宋体"/>
          <w:color w:val="000000"/>
          <w:spacing w:val="2"/>
          <w:sz w:val="32"/>
          <w:szCs w:val="32"/>
        </w:rPr>
        <w:t>、专业实践</w:t>
      </w:r>
      <w:r>
        <w:rPr>
          <w:rFonts w:hint="eastAsia" w:ascii="仿宋_gb2312" w:hAnsi="宋体" w:eastAsia="仿宋_gb2312" w:cs="宋体"/>
          <w:color w:val="000000"/>
          <w:spacing w:val="3"/>
          <w:sz w:val="32"/>
          <w:szCs w:val="32"/>
        </w:rPr>
        <w:t>（包括</w:t>
      </w:r>
      <w:r>
        <w:rPr>
          <w:rFonts w:hint="eastAsia" w:ascii="仿宋_gb2312" w:hAnsi="宋体" w:eastAsia="仿宋_gb2312" w:cs="宋体"/>
          <w:color w:val="000000"/>
          <w:spacing w:val="1"/>
          <w:sz w:val="32"/>
          <w:szCs w:val="32"/>
        </w:rPr>
        <w:t>社会调查、暑期专业调研与三下乡、公益活动等</w:t>
      </w:r>
      <w:r>
        <w:rPr>
          <w:rFonts w:hint="eastAsia" w:ascii="仿宋_gb2312" w:hAnsi="宋体" w:eastAsia="仿宋_gb2312" w:cs="宋体"/>
          <w:color w:val="000000"/>
          <w:spacing w:val="3"/>
          <w:sz w:val="32"/>
          <w:szCs w:val="32"/>
        </w:rPr>
        <w:t>）</w:t>
      </w:r>
      <w:r>
        <w:rPr>
          <w:rFonts w:hint="eastAsia" w:ascii="仿宋_gb2312" w:hAnsi="宋体" w:eastAsia="仿宋_gb2312" w:cs="宋体"/>
          <w:color w:val="000000"/>
          <w:spacing w:val="2"/>
          <w:sz w:val="32"/>
          <w:szCs w:val="32"/>
        </w:rPr>
        <w:t>四种形式。每位硕士研究生</w:t>
      </w:r>
      <w:r>
        <w:rPr>
          <w:rFonts w:hint="eastAsia" w:ascii="仿宋_gb2312" w:hAnsi="宋体" w:eastAsia="仿宋_gb2312" w:cs="宋体"/>
          <w:color w:val="000000"/>
          <w:spacing w:val="-5"/>
          <w:sz w:val="32"/>
          <w:szCs w:val="32"/>
        </w:rPr>
        <w:t>在学期间必须参加其中至少一项活动。社会实践活动累计时间不少于</w:t>
      </w:r>
      <w:r>
        <w:rPr>
          <w:rFonts w:hint="eastAsia" w:ascii="仿宋_gb2312" w:hAnsi="宋体" w:eastAsia="仿宋_gb2312" w:cs="宋体"/>
          <w:color w:val="000000"/>
          <w:sz w:val="32"/>
          <w:szCs w:val="32"/>
        </w:rPr>
        <w:t>1</w:t>
      </w:r>
      <w:r>
        <w:rPr>
          <w:rFonts w:hint="eastAsia" w:ascii="仿宋_gb2312" w:hAnsi="宋体" w:eastAsia="仿宋_gb2312" w:cs="宋体"/>
          <w:color w:val="000000"/>
          <w:spacing w:val="-23"/>
          <w:sz w:val="32"/>
          <w:szCs w:val="32"/>
        </w:rPr>
        <w:t>个月。</w:t>
      </w:r>
      <w:r>
        <w:rPr>
          <w:rFonts w:hint="eastAsia" w:ascii="仿宋_gb2312" w:hAnsi="宋体" w:eastAsia="仿宋_gb2312" w:cs="宋体"/>
          <w:color w:val="000000"/>
          <w:sz w:val="32"/>
          <w:szCs w:val="32"/>
        </w:rPr>
        <w:t>考核合格者获1学分。</w:t>
      </w:r>
    </w:p>
    <w:p>
      <w:pPr>
        <w:pStyle w:val="2"/>
        <w:spacing w:line="580" w:lineRule="exact"/>
        <w:ind w:firstLine="640" w:firstLineChars="200"/>
        <w:rPr>
          <w:rFonts w:ascii="仿宋_gb2312" w:eastAsia="仿宋_gb2312"/>
          <w:color w:val="FF0000"/>
          <w:sz w:val="32"/>
          <w:szCs w:val="32"/>
        </w:rPr>
      </w:pPr>
      <w:r>
        <w:rPr>
          <w:rFonts w:hint="eastAsia" w:ascii="仿宋_gb2312" w:eastAsia="仿宋_gb2312"/>
          <w:color w:val="000000"/>
          <w:sz w:val="32"/>
          <w:szCs w:val="32"/>
        </w:rPr>
        <w:t>5.专业实习。专业硕士研究生应按要求进行专业实习，并接受校内导师和校外导师的指导。研究生应提交专业实习计划，撰写专业实习总结报告，经所在二级培养单位考核合格后，方可获得相应的学分。</w:t>
      </w:r>
      <w:r>
        <w:rPr>
          <w:rFonts w:hint="eastAsia" w:ascii="仿宋_gb2312" w:eastAsia="仿宋_gb2312"/>
          <w:color w:val="FF0000"/>
          <w:sz w:val="32"/>
          <w:szCs w:val="32"/>
        </w:rPr>
        <w:t>在专业实习中增加劳动教育内容。</w:t>
      </w:r>
      <w:r>
        <w:rPr>
          <w:rFonts w:ascii="仿宋_gb2312" w:eastAsia="仿宋_gb2312"/>
          <w:color w:val="FF0000"/>
          <w:sz w:val="32"/>
          <w:szCs w:val="32"/>
        </w:rPr>
        <w:br w:type="textWrapping"/>
      </w:r>
      <w:r>
        <w:rPr>
          <w:rFonts w:hint="eastAsia" w:ascii="仿宋_gb2312" w:eastAsia="仿宋_gb2312"/>
          <w:color w:val="FF0000"/>
          <w:sz w:val="32"/>
          <w:szCs w:val="32"/>
        </w:rPr>
        <w:t xml:space="preserve"> </w:t>
      </w:r>
      <w:r>
        <w:rPr>
          <w:rFonts w:ascii="仿宋_gb2312" w:eastAsia="仿宋_gb2312"/>
          <w:color w:val="FF0000"/>
          <w:sz w:val="32"/>
          <w:szCs w:val="32"/>
        </w:rPr>
        <w:t xml:space="preserve">  </w:t>
      </w:r>
      <w:r>
        <w:rPr>
          <w:rFonts w:hint="eastAsia" w:ascii="仿宋_gb2312" w:eastAsia="仿宋_gb2312"/>
          <w:color w:val="FF0000"/>
          <w:sz w:val="32"/>
          <w:szCs w:val="32"/>
        </w:rPr>
        <w:t>“引导学生在专业实习中树立正确的劳动观念、具有必备的劳动能力、培育积极的劳动精神、养成良好的劳动习惯和品质，全面提高学生劳动素养”。</w:t>
      </w:r>
    </w:p>
    <w:p>
      <w:pPr>
        <w:spacing w:line="580" w:lineRule="exact"/>
        <w:ind w:left="420"/>
        <w:rPr>
          <w:rFonts w:ascii="仿宋_gb2312" w:eastAsia="仿宋_gb2312"/>
          <w:b/>
          <w:bCs/>
          <w:color w:val="000000"/>
          <w:sz w:val="32"/>
          <w:szCs w:val="32"/>
        </w:rPr>
      </w:pPr>
      <w:r>
        <w:rPr>
          <w:rFonts w:hint="eastAsia" w:ascii="仿宋_gb2312" w:eastAsia="仿宋_gb2312"/>
          <w:b/>
          <w:bCs/>
          <w:color w:val="000000"/>
          <w:sz w:val="32"/>
          <w:szCs w:val="32"/>
        </w:rPr>
        <w:t>八、考核方式</w:t>
      </w:r>
    </w:p>
    <w:p>
      <w:pPr>
        <w:spacing w:line="580" w:lineRule="exact"/>
        <w:rPr>
          <w:rFonts w:ascii="仿宋_gb2312" w:hAnsi="宋体" w:eastAsia="仿宋_gb2312" w:cs="宋体"/>
          <w:color w:val="000000"/>
          <w:sz w:val="32"/>
          <w:szCs w:val="32"/>
        </w:rPr>
      </w:pPr>
      <w:r>
        <w:rPr>
          <w:rFonts w:hint="eastAsia" w:ascii="仿宋_gb2312" w:eastAsia="仿宋_gb2312"/>
          <w:b/>
          <w:bCs/>
          <w:color w:val="000000"/>
          <w:sz w:val="32"/>
          <w:szCs w:val="32"/>
        </w:rPr>
        <w:t xml:space="preserve">    </w:t>
      </w:r>
      <w:r>
        <w:rPr>
          <w:rFonts w:hint="eastAsia" w:ascii="仿宋_gb2312" w:hAnsi="宋体" w:eastAsia="仿宋_gb2312" w:cs="宋体"/>
          <w:color w:val="000000"/>
          <w:sz w:val="32"/>
          <w:szCs w:val="32"/>
        </w:rPr>
        <w:t>课程学习和各必修环节，均须进行成绩考核，考核通过后方能取得规定的学分。</w:t>
      </w:r>
    </w:p>
    <w:p>
      <w:pPr>
        <w:numPr>
          <w:ilvl w:val="0"/>
          <w:numId w:val="2"/>
        </w:numPr>
        <w:spacing w:line="580" w:lineRule="exact"/>
        <w:ind w:firstLine="643" w:firstLineChars="200"/>
        <w:rPr>
          <w:rFonts w:ascii="仿宋_gb2312" w:hAnsi="宋体" w:eastAsia="仿宋_gb2312" w:cs="宋体"/>
          <w:b/>
          <w:color w:val="000000"/>
          <w:sz w:val="32"/>
          <w:szCs w:val="32"/>
        </w:rPr>
      </w:pPr>
      <w:r>
        <w:rPr>
          <w:rFonts w:hint="eastAsia" w:ascii="仿宋_gb2312" w:hAnsi="宋体" w:eastAsia="仿宋_gb2312" w:cs="宋体"/>
          <w:b/>
          <w:color w:val="000000"/>
          <w:sz w:val="32"/>
          <w:szCs w:val="32"/>
        </w:rPr>
        <w:t>考核成绩</w:t>
      </w:r>
    </w:p>
    <w:p>
      <w:pPr>
        <w:spacing w:line="58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考核成绩按百分制或等级制评定。课程考核成绩合格标准：必修课（含公共学位课和学科基础课、专业课）成绩要求 75 分及以上，选修课、补修课成绩达到 60 分及以上，培养环节成绩达到合格等级及以上。成绩达到合格标准方可获得相应学分。</w:t>
      </w:r>
    </w:p>
    <w:p>
      <w:pPr>
        <w:numPr>
          <w:ilvl w:val="0"/>
          <w:numId w:val="2"/>
        </w:numPr>
        <w:spacing w:line="580" w:lineRule="exact"/>
        <w:ind w:firstLine="643" w:firstLineChars="200"/>
        <w:rPr>
          <w:rFonts w:ascii="仿宋_gb2312" w:hAnsi="宋体" w:eastAsia="仿宋_gb2312" w:cs="宋体"/>
          <w:b/>
          <w:color w:val="000000"/>
          <w:sz w:val="32"/>
          <w:szCs w:val="32"/>
        </w:rPr>
      </w:pPr>
      <w:r>
        <w:rPr>
          <w:rFonts w:hint="eastAsia" w:ascii="仿宋_gb2312" w:hAnsi="宋体" w:eastAsia="仿宋_gb2312" w:cs="宋体"/>
          <w:b/>
          <w:color w:val="000000"/>
          <w:sz w:val="32"/>
          <w:szCs w:val="32"/>
        </w:rPr>
        <w:t>中期考核</w:t>
      </w:r>
    </w:p>
    <w:p>
      <w:pPr>
        <w:spacing w:line="58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第四学期由导师和所在二级培养单位对研究生进行中期考核。主要考核研究生的思想品德、理论知识水平、科研能力和学位论文撰写进度等方面情况，同时对研究生参加科研、学术活动和社会实践情况进行督促和检查。中期考核工作按《湖南工商大学研究生中期考核实施办法》执行。</w:t>
      </w:r>
    </w:p>
    <w:p>
      <w:pPr>
        <w:spacing w:line="580" w:lineRule="exact"/>
        <w:ind w:left="420" w:firstLine="321" w:firstLineChars="100"/>
        <w:rPr>
          <w:rFonts w:ascii="仿宋_gb2312" w:eastAsia="仿宋_gb2312"/>
          <w:b/>
          <w:bCs/>
          <w:color w:val="000000"/>
          <w:sz w:val="32"/>
          <w:szCs w:val="32"/>
        </w:rPr>
      </w:pPr>
      <w:r>
        <w:rPr>
          <w:rFonts w:hint="eastAsia" w:ascii="仿宋_gb2312" w:eastAsia="仿宋_gb2312"/>
          <w:b/>
          <w:bCs/>
          <w:color w:val="000000"/>
          <w:sz w:val="32"/>
          <w:szCs w:val="32"/>
        </w:rPr>
        <w:t>九、学位论文</w:t>
      </w:r>
    </w:p>
    <w:p>
      <w:pPr>
        <w:widowControl/>
        <w:shd w:val="clear" w:color="auto" w:fill="FFFFFF"/>
        <w:spacing w:line="580" w:lineRule="exact"/>
        <w:ind w:firstLine="640"/>
        <w:rPr>
          <w:rFonts w:ascii="仿宋_gb2312" w:eastAsia="仿宋_gb2312"/>
          <w:color w:val="000000"/>
          <w:sz w:val="32"/>
          <w:szCs w:val="32"/>
        </w:rPr>
      </w:pPr>
      <w:r>
        <w:rPr>
          <w:rFonts w:hint="eastAsia" w:ascii="仿宋_gb2312" w:eastAsia="仿宋_gb2312"/>
          <w:color w:val="000000"/>
          <w:sz w:val="32"/>
          <w:szCs w:val="32"/>
        </w:rPr>
        <w:t>学位论文是对研究生进行科学研究或承担专门技术工作的全面训练，是培养研究生发现、分析和解决问题的能力及创新能力的关键环节。学位论文工作包括：文献阅读、论文选题、开题报告、学术调研、论文撰写、中期检查、论文评审、论文答辩等环节。硕士研究生要在导师或导师组的指导下，结合专业实践，通过文献阅读、调查与研究等，选择适当的课题，开展创新研究，并撰写学位论文。学位论文必须由硕士研究生独立完成，学位论文工作时间一般不少于1学年。</w:t>
      </w:r>
    </w:p>
    <w:p>
      <w:pPr>
        <w:widowControl/>
        <w:shd w:val="clear" w:color="auto" w:fill="FFFFFF"/>
        <w:spacing w:line="580" w:lineRule="exact"/>
        <w:ind w:firstLine="640"/>
        <w:rPr>
          <w:rFonts w:ascii="仿宋_gb2312" w:eastAsia="仿宋_gb2312"/>
          <w:b/>
          <w:bCs/>
          <w:color w:val="000000"/>
          <w:sz w:val="32"/>
          <w:szCs w:val="32"/>
        </w:rPr>
      </w:pPr>
      <w:r>
        <w:rPr>
          <w:rFonts w:hint="eastAsia" w:ascii="仿宋_gb2312" w:eastAsia="仿宋_gb2312"/>
          <w:b/>
          <w:bCs/>
          <w:color w:val="000000"/>
          <w:sz w:val="32"/>
          <w:szCs w:val="32"/>
        </w:rPr>
        <w:t>（一）学位论文选题</w:t>
      </w:r>
    </w:p>
    <w:p>
      <w:pPr>
        <w:widowControl/>
        <w:shd w:val="clear" w:color="auto" w:fill="FFFFFF"/>
        <w:spacing w:line="580" w:lineRule="exact"/>
        <w:ind w:firstLine="640"/>
        <w:rPr>
          <w:rFonts w:ascii="仿宋_gb2312" w:eastAsia="仿宋_gb2312"/>
          <w:color w:val="000000"/>
          <w:sz w:val="32"/>
          <w:szCs w:val="32"/>
        </w:rPr>
      </w:pPr>
      <w:r>
        <w:rPr>
          <w:rFonts w:hint="eastAsia" w:ascii="仿宋_gb2312" w:eastAsia="仿宋_gb2312"/>
          <w:color w:val="000000"/>
          <w:sz w:val="32"/>
          <w:szCs w:val="32"/>
        </w:rPr>
        <w:t>各学科专业应依据学位标准和培养方向对学位论文选题、形式内容、创新性及学术水平提出明确要求。学术硕士</w:t>
      </w:r>
      <w:r>
        <w:rPr>
          <w:rFonts w:hint="eastAsia" w:ascii="仿宋_gb2312" w:hAnsi="宋体" w:eastAsia="仿宋_gb2312"/>
          <w:color w:val="000000"/>
          <w:sz w:val="32"/>
          <w:szCs w:val="32"/>
        </w:rPr>
        <w:t>论文的选题应当从某一学科领域提出，具有理论意义或对经济建设和社会进步有实用价值，注重学术性和创新性。</w:t>
      </w:r>
      <w:r>
        <w:rPr>
          <w:rFonts w:hint="eastAsia" w:ascii="仿宋_gb2312" w:eastAsia="仿宋_gb2312"/>
          <w:color w:val="000000"/>
          <w:sz w:val="32"/>
          <w:szCs w:val="32"/>
        </w:rPr>
        <w:t>专业学位硕士研究生学位论文选题应来源于实际需求，具有明确的职业背景和应用价值。专业学位论文形式可以多种多样，可采用调研报告、规划设计、产品开发、案例分析、项目管理等形式。</w:t>
      </w:r>
    </w:p>
    <w:p>
      <w:p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（二）学位论文开题报告</w:t>
      </w:r>
    </w:p>
    <w:p>
      <w:pPr>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学位论文开题按湖南工商大学硕士研究生学位论文开题报告有关办法执行。</w:t>
      </w:r>
    </w:p>
    <w:p>
      <w:p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（三）学位论文中期检查</w:t>
      </w:r>
    </w:p>
    <w:p>
      <w:pPr>
        <w:spacing w:line="58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论文中期检查按湖南工商大学硕士研究生学位论文中期检查有关办法执行。</w:t>
      </w:r>
    </w:p>
    <w:p>
      <w:pPr>
        <w:numPr>
          <w:ilvl w:val="0"/>
          <w:numId w:val="2"/>
        </w:num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学位论文撰写要求</w:t>
      </w:r>
    </w:p>
    <w:p>
      <w:pPr>
        <w:spacing w:line="58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硕士学位论文应对所从事的课题有新的见解，或能解决实际问题。论文要求系统完整，体现充分的工作量和成果的先进性，文句简练、通顺、观点正确、图表清晰、数据可靠、撰写规范、严格准确地表达研究成果，实事求是地提出结论，而且必须是独立完成。为规范学术行为，培养良好的学术道德，杜绝剽窃、抄袭、复制、伪造、篡改等不端行为。根据学校规定，学位论文答辩前要统一进行检测审查，检测不合格者不得参加毕业论文答辩。提交论文后，学位点组织预审。具体按照《中华人民共和国学位条例暂行实施办法》和湖南工商大学研究生硕士学位授予工作有关办法要求进行。</w:t>
      </w:r>
    </w:p>
    <w:p>
      <w:p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（五）论文评阅与答辩</w:t>
      </w:r>
    </w:p>
    <w:p>
      <w:pPr>
        <w:spacing w:line="58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论文评阅和答辩等工作应严格按照《中华人民共和国学位条例暂行实施办法》和湖南工商大学研究生硕士学位授予工作有关办法要求进行。专业学位研究生学位论文评阅人和答辩委员会成员中，应有相关行业实践领域具有高级专业技术职务的专家。</w:t>
      </w:r>
    </w:p>
    <w:p>
      <w:pPr>
        <w:spacing w:line="580" w:lineRule="exact"/>
        <w:ind w:firstLine="643" w:firstLineChars="200"/>
        <w:rPr>
          <w:rFonts w:ascii="仿宋_gb2312" w:hAnsi="宋体" w:eastAsia="仿宋_gb2312" w:cs="宋体"/>
          <w:b/>
          <w:color w:val="000000"/>
          <w:sz w:val="32"/>
          <w:szCs w:val="32"/>
        </w:rPr>
      </w:pPr>
      <w:r>
        <w:rPr>
          <w:rFonts w:hint="eastAsia" w:ascii="仿宋_gb2312" w:hAnsi="宋体" w:eastAsia="仿宋_gb2312" w:cs="宋体"/>
          <w:b/>
          <w:color w:val="000000"/>
          <w:sz w:val="32"/>
          <w:szCs w:val="32"/>
        </w:rPr>
        <w:t>十、毕业与学位授予</w:t>
      </w:r>
    </w:p>
    <w:p>
      <w:pPr>
        <w:widowControl/>
        <w:spacing w:line="580" w:lineRule="exact"/>
        <w:ind w:firstLine="640" w:firstLineChars="200"/>
        <w:jc w:val="left"/>
        <w:rPr>
          <w:rFonts w:ascii="仿宋_gb2312" w:hAnsi="宋体" w:eastAsia="仿宋_gb2312" w:cs="宋体"/>
          <w:color w:val="000000"/>
          <w:sz w:val="32"/>
          <w:szCs w:val="32"/>
        </w:rPr>
      </w:pPr>
      <w:r>
        <w:rPr>
          <w:rFonts w:hint="eastAsia" w:ascii="仿宋_gb2312" w:hAnsi="宋体" w:eastAsia="仿宋_gb2312" w:cs="宋体"/>
          <w:color w:val="000000"/>
          <w:sz w:val="32"/>
          <w:szCs w:val="32"/>
        </w:rPr>
        <w:t>修满培养方案规定学分，完成培养方案规定的所有环节，成绩合格，通过学位论文答辩的研究生，经学院学位评定分委会审查同意，报校学位评定委员会审核批准后准予毕业；达到学位授予条件的授予相应硕士学位。</w:t>
      </w:r>
      <w:r>
        <w:rPr>
          <w:rFonts w:hint="eastAsia" w:ascii="仿宋_gb2312" w:hAnsi="宋体" w:eastAsia="仿宋_gb2312" w:cs="宋体"/>
          <w:color w:val="FF0000"/>
          <w:sz w:val="32"/>
          <w:szCs w:val="32"/>
        </w:rPr>
        <w:t>本学科（专业类别）学位申请科研创新成果条件见《关于硕士学位授予创新性成果要求的补充规定》</w:t>
      </w:r>
      <w:r>
        <w:rPr>
          <w:rFonts w:hint="eastAsia" w:ascii="仿宋" w:hAnsi="仿宋" w:eastAsia="仿宋" w:cs="仿宋"/>
          <w:color w:val="FF0000"/>
          <w:kern w:val="0"/>
          <w:sz w:val="32"/>
          <w:szCs w:val="32"/>
        </w:rPr>
        <w:t>（校研字〔2023〕</w:t>
      </w:r>
      <w:r>
        <w:rPr>
          <w:rFonts w:hint="eastAsia" w:ascii="仿宋" w:hAnsi="仿宋" w:eastAsia="仿宋" w:cs="仿宋"/>
          <w:color w:val="FF0000"/>
          <w:kern w:val="0"/>
          <w:sz w:val="32"/>
          <w:szCs w:val="32"/>
          <w:lang w:val="en-US" w:eastAsia="zh-CN"/>
        </w:rPr>
        <w:t>5</w:t>
      </w:r>
      <w:bookmarkStart w:id="0" w:name="_GoBack"/>
      <w:bookmarkEnd w:id="0"/>
      <w:r>
        <w:rPr>
          <w:rFonts w:hint="eastAsia" w:ascii="仿宋" w:hAnsi="仿宋" w:eastAsia="仿宋" w:cs="仿宋"/>
          <w:color w:val="FF0000"/>
          <w:kern w:val="0"/>
          <w:sz w:val="32"/>
          <w:szCs w:val="32"/>
        </w:rPr>
        <w:t>号）</w:t>
      </w:r>
    </w:p>
    <w:p>
      <w:pPr>
        <w:spacing w:line="580" w:lineRule="exact"/>
        <w:ind w:firstLine="643" w:firstLineChars="200"/>
        <w:rPr>
          <w:rFonts w:ascii="仿宋_gb2312" w:eastAsia="仿宋_gb2312"/>
          <w:b/>
          <w:color w:val="000000"/>
          <w:sz w:val="32"/>
          <w:szCs w:val="32"/>
        </w:rPr>
      </w:pPr>
      <w:r>
        <w:rPr>
          <w:rFonts w:hint="eastAsia" w:ascii="仿宋_gb2312" w:eastAsia="仿宋_gb2312"/>
          <w:b/>
          <w:color w:val="000000"/>
          <w:sz w:val="32"/>
          <w:szCs w:val="32"/>
        </w:rPr>
        <w:t>十一、其他事项</w:t>
      </w:r>
    </w:p>
    <w:p>
      <w:pPr>
        <w:spacing w:line="580" w:lineRule="exact"/>
        <w:ind w:firstLine="640" w:firstLineChars="200"/>
        <w:rPr>
          <w:rFonts w:ascii="仿宋_gb2312" w:eastAsia="仿宋_gb2312"/>
          <w:b/>
          <w:bCs/>
          <w:color w:val="000000"/>
          <w:sz w:val="32"/>
          <w:szCs w:val="32"/>
        </w:rPr>
      </w:pPr>
      <w:r>
        <w:rPr>
          <w:rFonts w:hint="eastAsia" w:ascii="仿宋_gb2312" w:eastAsia="仿宋_gb2312"/>
          <w:color w:val="000000"/>
          <w:sz w:val="32"/>
          <w:szCs w:val="32"/>
        </w:rPr>
        <w:t>本培养方案自***级研究生开始适用。</w:t>
      </w:r>
    </w:p>
    <w:p>
      <w:pPr>
        <w:spacing w:line="500" w:lineRule="exact"/>
        <w:rPr>
          <w:rFonts w:ascii="宋体" w:hAnsi="宋体" w:cs="宋体"/>
          <w:b/>
          <w:bCs/>
          <w:color w:val="000000"/>
          <w:sz w:val="15"/>
          <w:szCs w:val="15"/>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930310"/>
    <w:multiLevelType w:val="singleLevel"/>
    <w:tmpl w:val="22930310"/>
    <w:lvl w:ilvl="0" w:tentative="0">
      <w:start w:val="1"/>
      <w:numFmt w:val="chineseCounting"/>
      <w:suff w:val="nothing"/>
      <w:lvlText w:val="（%1）"/>
      <w:lvlJc w:val="left"/>
      <w:rPr>
        <w:rFonts w:hint="eastAsia"/>
      </w:rPr>
    </w:lvl>
  </w:abstractNum>
  <w:abstractNum w:abstractNumId="1">
    <w:nsid w:val="4CE58D8D"/>
    <w:multiLevelType w:val="singleLevel"/>
    <w:tmpl w:val="4CE58D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5DEA16BE"/>
    <w:rsid w:val="00094EF1"/>
    <w:rsid w:val="000F2D48"/>
    <w:rsid w:val="00C02311"/>
    <w:rsid w:val="00EE107D"/>
    <w:rsid w:val="039E565E"/>
    <w:rsid w:val="04BB7B45"/>
    <w:rsid w:val="055155F8"/>
    <w:rsid w:val="05C321A6"/>
    <w:rsid w:val="075C1AB8"/>
    <w:rsid w:val="076A2F4C"/>
    <w:rsid w:val="084C7436"/>
    <w:rsid w:val="094D790A"/>
    <w:rsid w:val="0A95665E"/>
    <w:rsid w:val="0C9D2956"/>
    <w:rsid w:val="0CCD7C2E"/>
    <w:rsid w:val="0D507988"/>
    <w:rsid w:val="0E1327A4"/>
    <w:rsid w:val="0E567B2C"/>
    <w:rsid w:val="102316EB"/>
    <w:rsid w:val="14A30D26"/>
    <w:rsid w:val="14E530ED"/>
    <w:rsid w:val="16B20DAC"/>
    <w:rsid w:val="19094B95"/>
    <w:rsid w:val="191A0E8B"/>
    <w:rsid w:val="197F1B2D"/>
    <w:rsid w:val="1A4F6F20"/>
    <w:rsid w:val="1AEF1714"/>
    <w:rsid w:val="1C2B38D2"/>
    <w:rsid w:val="1CA26DA6"/>
    <w:rsid w:val="254E083A"/>
    <w:rsid w:val="259F21C4"/>
    <w:rsid w:val="272D6D87"/>
    <w:rsid w:val="29C25353"/>
    <w:rsid w:val="2B013C59"/>
    <w:rsid w:val="30760C45"/>
    <w:rsid w:val="318178A1"/>
    <w:rsid w:val="33E74334"/>
    <w:rsid w:val="38E70932"/>
    <w:rsid w:val="38F44DFD"/>
    <w:rsid w:val="39445009"/>
    <w:rsid w:val="3BD553B9"/>
    <w:rsid w:val="3C6329C5"/>
    <w:rsid w:val="3C9F32D2"/>
    <w:rsid w:val="3D605157"/>
    <w:rsid w:val="3E2C61B9"/>
    <w:rsid w:val="3E755F09"/>
    <w:rsid w:val="415D3E87"/>
    <w:rsid w:val="43F839F3"/>
    <w:rsid w:val="44A665F1"/>
    <w:rsid w:val="459C0CF6"/>
    <w:rsid w:val="45C77D1C"/>
    <w:rsid w:val="473F7B8B"/>
    <w:rsid w:val="4823125B"/>
    <w:rsid w:val="4B8C0B57"/>
    <w:rsid w:val="4F247D92"/>
    <w:rsid w:val="510D4856"/>
    <w:rsid w:val="51552F41"/>
    <w:rsid w:val="522B440D"/>
    <w:rsid w:val="532742F5"/>
    <w:rsid w:val="568B06F7"/>
    <w:rsid w:val="5858754C"/>
    <w:rsid w:val="59FE5684"/>
    <w:rsid w:val="5C8A56BD"/>
    <w:rsid w:val="5DDC5CDC"/>
    <w:rsid w:val="5DEA16BE"/>
    <w:rsid w:val="61493688"/>
    <w:rsid w:val="625B7B17"/>
    <w:rsid w:val="633640E0"/>
    <w:rsid w:val="65AD68DC"/>
    <w:rsid w:val="662A20DC"/>
    <w:rsid w:val="68301EE1"/>
    <w:rsid w:val="68660FC4"/>
    <w:rsid w:val="6881195A"/>
    <w:rsid w:val="68906041"/>
    <w:rsid w:val="68CA3301"/>
    <w:rsid w:val="69A01DB2"/>
    <w:rsid w:val="6B405AFC"/>
    <w:rsid w:val="70473489"/>
    <w:rsid w:val="70A82AF7"/>
    <w:rsid w:val="71357785"/>
    <w:rsid w:val="73CB44C1"/>
    <w:rsid w:val="7762504C"/>
    <w:rsid w:val="77843214"/>
    <w:rsid w:val="78014865"/>
    <w:rsid w:val="7BD5403F"/>
    <w:rsid w:val="7C6353AB"/>
    <w:rsid w:val="7CC16371"/>
    <w:rsid w:val="7CF130FA"/>
    <w:rsid w:val="7F9C51A4"/>
    <w:rsid w:val="7FCB7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kern w:val="2"/>
      <w:sz w:val="18"/>
      <w:szCs w:val="18"/>
    </w:rPr>
  </w:style>
  <w:style w:type="character" w:customStyle="1" w:styleId="8">
    <w:name w:val="页脚 字符"/>
    <w:basedOn w:val="6"/>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832</Words>
  <Characters>4747</Characters>
  <Lines>39</Lines>
  <Paragraphs>11</Paragraphs>
  <TotalTime>1</TotalTime>
  <ScaleCrop>false</ScaleCrop>
  <LinksUpToDate>false</LinksUpToDate>
  <CharactersWithSpaces>5568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2022-06-01T02:26:00Z</dcterms:created>
  <dc:creator>杜佳慧</dc:creator>
  <cp:lastModifiedBy>jely</cp:lastModifiedBy>
  <cp:lastPrinted>2022-06-28T01:15:00Z</cp:lastPrinted>
  <dcterms:modified xsi:type="dcterms:W3CDTF">2024-01-11T04:16:24Z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5B7767657B824535BFBB9CBF4849EB6F_13</vt:lpwstr>
  </property>
</Properties>
</file>